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30CFDA">
      <w:pPr>
        <w:jc w:val="center"/>
        <w:rPr>
          <w:rFonts w:hint="eastAsia" w:ascii="宋体" w:hAnsi="宋体" w:cs="宋体"/>
          <w:b/>
          <w:bCs/>
          <w:kern w:val="0"/>
          <w:sz w:val="32"/>
          <w:szCs w:val="32"/>
          <w:lang w:val="en-US" w:eastAsia="zh-CN"/>
        </w:rPr>
      </w:pPr>
      <w:bookmarkStart w:id="0" w:name="_Toc463071336"/>
      <w:bookmarkStart w:id="1" w:name="_Toc469969645"/>
      <w:r>
        <w:rPr>
          <w:rFonts w:hint="eastAsia" w:ascii="宋体" w:hAnsi="宋体" w:cs="宋体"/>
          <w:b/>
          <w:bCs/>
          <w:kern w:val="0"/>
          <w:sz w:val="32"/>
          <w:szCs w:val="32"/>
        </w:rPr>
        <w:t>广州医科大学附属中医医院202</w:t>
      </w:r>
      <w:r>
        <w:rPr>
          <w:rFonts w:hint="eastAsia" w:ascii="宋体" w:hAnsi="宋体" w:cs="宋体"/>
          <w:b/>
          <w:bCs/>
          <w:kern w:val="0"/>
          <w:sz w:val="32"/>
          <w:szCs w:val="32"/>
          <w:lang w:val="en-US" w:eastAsia="zh-CN"/>
        </w:rPr>
        <w:t>4</w:t>
      </w:r>
      <w:r>
        <w:rPr>
          <w:rFonts w:hint="eastAsia" w:ascii="宋体" w:hAnsi="宋体" w:cs="宋体"/>
          <w:b/>
          <w:bCs/>
          <w:kern w:val="0"/>
          <w:sz w:val="32"/>
          <w:szCs w:val="32"/>
        </w:rPr>
        <w:t>年医疗责任保险</w:t>
      </w:r>
      <w:r>
        <w:rPr>
          <w:rFonts w:hint="eastAsia" w:ascii="宋体" w:hAnsi="宋体" w:cs="宋体"/>
          <w:b/>
          <w:bCs/>
          <w:kern w:val="0"/>
          <w:sz w:val="32"/>
          <w:szCs w:val="32"/>
          <w:lang w:val="en-US" w:eastAsia="zh-CN"/>
        </w:rPr>
        <w:t>购买</w:t>
      </w:r>
    </w:p>
    <w:p w14:paraId="4E9724A6">
      <w:pPr>
        <w:jc w:val="center"/>
        <w:rPr>
          <w:rFonts w:hint="eastAsia" w:ascii="宋体" w:hAnsi="宋体" w:eastAsia="宋体" w:cs="宋体"/>
          <w:b/>
          <w:bCs/>
          <w:color w:val="000000"/>
          <w:sz w:val="28"/>
          <w:szCs w:val="28"/>
          <w:shd w:val="clear" w:color="auto" w:fill="FFFFFF"/>
        </w:rPr>
      </w:pPr>
      <w:r>
        <w:rPr>
          <w:rFonts w:hint="eastAsia" w:ascii="宋体" w:hAnsi="宋体" w:eastAsia="宋体" w:cs="宋体"/>
          <w:b/>
          <w:bCs/>
          <w:kern w:val="0"/>
          <w:sz w:val="32"/>
          <w:szCs w:val="32"/>
          <w:lang w:val="en-US" w:eastAsia="zh-CN" w:bidi="ar-SA"/>
        </w:rPr>
        <w:t>项目需求文件</w:t>
      </w:r>
    </w:p>
    <w:p w14:paraId="2E19AD6B">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b/>
          <w:bCs/>
          <w:color w:val="000000"/>
          <w:sz w:val="28"/>
          <w:szCs w:val="28"/>
          <w:shd w:val="clear" w:color="auto" w:fill="FFFFFF"/>
          <w:lang w:val="en-US" w:eastAsia="zh-CN"/>
        </w:rPr>
      </w:pPr>
      <w:r>
        <w:rPr>
          <w:rFonts w:hint="eastAsia" w:ascii="宋体" w:hAnsi="宋体" w:cs="宋体"/>
          <w:b/>
          <w:bCs/>
          <w:color w:val="000000"/>
          <w:sz w:val="28"/>
          <w:szCs w:val="28"/>
          <w:shd w:val="clear" w:color="auto" w:fill="FFFFFF"/>
          <w:lang w:val="en-US" w:eastAsia="zh-CN"/>
        </w:rPr>
        <w:t>一、</w:t>
      </w:r>
      <w:r>
        <w:rPr>
          <w:rFonts w:hint="eastAsia" w:ascii="宋体" w:hAnsi="宋体" w:eastAsia="宋体" w:cs="宋体"/>
          <w:b/>
          <w:bCs/>
          <w:color w:val="000000"/>
          <w:sz w:val="28"/>
          <w:szCs w:val="28"/>
          <w:shd w:val="clear" w:color="auto" w:fill="FFFFFF"/>
        </w:rPr>
        <w:t>项目</w:t>
      </w:r>
      <w:r>
        <w:rPr>
          <w:rFonts w:hint="eastAsia" w:ascii="宋体" w:hAnsi="宋体" w:cs="宋体"/>
          <w:b/>
          <w:bCs/>
          <w:color w:val="000000"/>
          <w:sz w:val="28"/>
          <w:szCs w:val="28"/>
          <w:shd w:val="clear" w:color="auto" w:fill="FFFFFF"/>
          <w:lang w:val="en-US" w:eastAsia="zh-CN"/>
        </w:rPr>
        <w:t>内容</w:t>
      </w:r>
    </w:p>
    <w:p w14:paraId="04AB30F8">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广州医科大学附属中医医院</w:t>
      </w:r>
      <w:r>
        <w:rPr>
          <w:rFonts w:hint="eastAsia" w:ascii="宋体" w:hAnsi="宋体" w:eastAsia="宋体" w:cs="宋体"/>
          <w:color w:val="000000"/>
          <w:sz w:val="28"/>
          <w:szCs w:val="28"/>
          <w:shd w:val="clear" w:color="auto" w:fill="FFFFFF"/>
          <w:lang w:val="en-US" w:eastAsia="zh-CN"/>
        </w:rPr>
        <w:t>202</w:t>
      </w:r>
      <w:r>
        <w:rPr>
          <w:rFonts w:hint="eastAsia" w:ascii="宋体" w:hAnsi="宋体" w:cs="宋体"/>
          <w:color w:val="000000"/>
          <w:sz w:val="28"/>
          <w:szCs w:val="28"/>
          <w:shd w:val="clear" w:color="auto" w:fill="FFFFFF"/>
          <w:lang w:val="en-US" w:eastAsia="zh-CN"/>
        </w:rPr>
        <w:t>4</w:t>
      </w:r>
      <w:r>
        <w:rPr>
          <w:rFonts w:hint="eastAsia" w:ascii="宋体" w:hAnsi="宋体" w:eastAsia="宋体" w:cs="宋体"/>
          <w:color w:val="000000"/>
          <w:sz w:val="28"/>
          <w:szCs w:val="28"/>
          <w:shd w:val="clear" w:color="auto" w:fill="FFFFFF"/>
          <w:lang w:val="en-US" w:eastAsia="zh-CN"/>
        </w:rPr>
        <w:t>年医疗责任保险购买项目</w:t>
      </w:r>
      <w:r>
        <w:rPr>
          <w:rFonts w:hint="eastAsia" w:ascii="宋体" w:hAnsi="宋体" w:eastAsia="宋体" w:cs="宋体"/>
          <w:color w:val="000000"/>
          <w:sz w:val="28"/>
          <w:szCs w:val="28"/>
          <w:shd w:val="clear" w:color="auto" w:fill="FFFFFF"/>
        </w:rPr>
        <w:t>。</w:t>
      </w:r>
      <w:bookmarkEnd w:id="0"/>
      <w:bookmarkEnd w:id="1"/>
    </w:p>
    <w:p w14:paraId="59293445">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8"/>
          <w:szCs w:val="28"/>
          <w:highlight w:val="none"/>
        </w:rPr>
      </w:pPr>
      <w:r>
        <w:rPr>
          <w:rFonts w:hint="eastAsia" w:ascii="宋体" w:hAnsi="宋体" w:eastAsia="宋体" w:cs="宋体"/>
          <w:color w:val="000000"/>
          <w:sz w:val="28"/>
          <w:szCs w:val="28"/>
          <w:shd w:val="clear" w:color="auto" w:fill="FFFFFF"/>
          <w:lang w:val="en-US" w:eastAsia="zh-CN"/>
        </w:rPr>
        <w:t>二、</w:t>
      </w:r>
      <w:r>
        <w:rPr>
          <w:rFonts w:hint="eastAsia" w:ascii="宋体" w:hAnsi="宋体" w:eastAsia="宋体" w:cs="宋体"/>
          <w:b/>
          <w:bCs/>
          <w:color w:val="auto"/>
          <w:sz w:val="28"/>
          <w:szCs w:val="28"/>
          <w:highlight w:val="none"/>
          <w:lang w:eastAsia="zh-CN"/>
        </w:rPr>
        <w:t>广州医科大学附属中医医院</w:t>
      </w:r>
      <w:r>
        <w:rPr>
          <w:rFonts w:hint="eastAsia" w:ascii="宋体" w:hAnsi="宋体" w:eastAsia="宋体" w:cs="宋体"/>
          <w:b/>
          <w:bCs/>
          <w:color w:val="auto"/>
          <w:sz w:val="28"/>
          <w:szCs w:val="28"/>
          <w:highlight w:val="none"/>
          <w:lang w:val="en-US" w:eastAsia="zh-CN"/>
        </w:rPr>
        <w:t>投保</w:t>
      </w:r>
      <w:r>
        <w:rPr>
          <w:rFonts w:hint="eastAsia" w:ascii="宋体" w:hAnsi="宋体" w:eastAsia="宋体" w:cs="宋体"/>
          <w:b/>
          <w:bCs/>
          <w:color w:val="auto"/>
          <w:sz w:val="28"/>
          <w:szCs w:val="28"/>
          <w:highlight w:val="none"/>
        </w:rPr>
        <w:t>基本信息</w:t>
      </w:r>
    </w:p>
    <w:tbl>
      <w:tblPr>
        <w:tblStyle w:val="8"/>
        <w:tblpPr w:leftFromText="180" w:rightFromText="180" w:vertAnchor="text" w:horzAnchor="page" w:tblpX="1480" w:tblpY="226"/>
        <w:tblOverlap w:val="never"/>
        <w:tblW w:w="92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373"/>
        <w:gridCol w:w="5894"/>
      </w:tblGrid>
      <w:tr w14:paraId="707BBE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trPr>
        <w:tc>
          <w:tcPr>
            <w:tcW w:w="3373" w:type="dxa"/>
            <w:vAlign w:val="center"/>
          </w:tcPr>
          <w:p w14:paraId="7F0ABC53">
            <w:pPr>
              <w:autoSpaceDE w:val="0"/>
              <w:autoSpaceDN w:val="0"/>
              <w:adjustRightInd w:val="0"/>
              <w:spacing w:line="440" w:lineRule="exact"/>
              <w:jc w:val="center"/>
              <w:rPr>
                <w:rFonts w:hint="eastAsia" w:ascii="宋体" w:hAnsi="宋体" w:eastAsia="宋体" w:cs="宋体"/>
                <w:b w:val="0"/>
                <w:bCs w:val="0"/>
                <w:color w:val="000000" w:themeColor="text1"/>
                <w:sz w:val="28"/>
                <w:szCs w:val="28"/>
                <w:highlight w:val="none"/>
                <w14:textFill>
                  <w14:solidFill>
                    <w14:schemeClr w14:val="tx1"/>
                  </w14:solidFill>
                </w14:textFill>
              </w:rPr>
            </w:pPr>
            <w:r>
              <w:rPr>
                <w:rFonts w:hint="eastAsia" w:ascii="宋体" w:hAnsi="宋体" w:eastAsia="宋体" w:cs="宋体"/>
                <w:b w:val="0"/>
                <w:bCs w:val="0"/>
                <w:color w:val="000000" w:themeColor="text1"/>
                <w:sz w:val="28"/>
                <w:szCs w:val="28"/>
                <w:highlight w:val="none"/>
                <w14:textFill>
                  <w14:solidFill>
                    <w14:schemeClr w14:val="tx1"/>
                  </w14:solidFill>
                </w14:textFill>
              </w:rPr>
              <w:t>医疗机构等级：</w:t>
            </w:r>
          </w:p>
        </w:tc>
        <w:tc>
          <w:tcPr>
            <w:tcW w:w="5894" w:type="dxa"/>
            <w:vAlign w:val="center"/>
          </w:tcPr>
          <w:p w14:paraId="1483A302">
            <w:pPr>
              <w:autoSpaceDE w:val="0"/>
              <w:autoSpaceDN w:val="0"/>
              <w:adjustRightInd w:val="0"/>
              <w:spacing w:line="440" w:lineRule="exact"/>
              <w:jc w:val="center"/>
              <w:rPr>
                <w:rFonts w:hint="eastAsia" w:ascii="宋体" w:hAnsi="宋体" w:eastAsia="宋体" w:cs="宋体"/>
                <w:b w:val="0"/>
                <w:bCs w:val="0"/>
                <w:color w:val="000000" w:themeColor="text1"/>
                <w:sz w:val="28"/>
                <w:szCs w:val="28"/>
                <w:highlight w:val="none"/>
                <w14:textFill>
                  <w14:solidFill>
                    <w14:schemeClr w14:val="tx1"/>
                  </w14:solidFill>
                </w14:textFill>
              </w:rPr>
            </w:pP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t>三</w:t>
            </w:r>
            <w:r>
              <w:rPr>
                <w:rFonts w:hint="eastAsia" w:ascii="宋体" w:hAnsi="宋体" w:eastAsia="宋体" w:cs="宋体"/>
                <w:b w:val="0"/>
                <w:bCs w:val="0"/>
                <w:color w:val="000000" w:themeColor="text1"/>
                <w:sz w:val="28"/>
                <w:szCs w:val="28"/>
                <w:highlight w:val="none"/>
                <w14:textFill>
                  <w14:solidFill>
                    <w14:schemeClr w14:val="tx1"/>
                  </w14:solidFill>
                </w14:textFill>
              </w:rPr>
              <w:t>级</w:t>
            </w:r>
          </w:p>
        </w:tc>
      </w:tr>
      <w:tr w14:paraId="57B470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trPr>
        <w:tc>
          <w:tcPr>
            <w:tcW w:w="3373" w:type="dxa"/>
            <w:vAlign w:val="center"/>
          </w:tcPr>
          <w:p w14:paraId="0DEDD51B">
            <w:pPr>
              <w:autoSpaceDE w:val="0"/>
              <w:autoSpaceDN w:val="0"/>
              <w:adjustRightInd w:val="0"/>
              <w:spacing w:line="440" w:lineRule="exact"/>
              <w:jc w:val="center"/>
              <w:rPr>
                <w:rFonts w:hint="eastAsia" w:ascii="宋体" w:hAnsi="宋体" w:eastAsia="宋体" w:cs="宋体"/>
                <w:b w:val="0"/>
                <w:bCs w:val="0"/>
                <w:color w:val="000000" w:themeColor="text1"/>
                <w:sz w:val="28"/>
                <w:szCs w:val="28"/>
                <w:highlight w:val="none"/>
                <w14:textFill>
                  <w14:solidFill>
                    <w14:schemeClr w14:val="tx1"/>
                  </w14:solidFill>
                </w14:textFill>
              </w:rPr>
            </w:pPr>
            <w:r>
              <w:rPr>
                <w:rFonts w:hint="eastAsia" w:ascii="宋体" w:hAnsi="宋体" w:eastAsia="宋体" w:cs="宋体"/>
                <w:b w:val="0"/>
                <w:bCs w:val="0"/>
                <w:color w:val="000000" w:themeColor="text1"/>
                <w:sz w:val="28"/>
                <w:szCs w:val="28"/>
                <w:highlight w:val="none"/>
                <w14:textFill>
                  <w14:solidFill>
                    <w14:schemeClr w14:val="tx1"/>
                  </w14:solidFill>
                </w14:textFill>
              </w:rPr>
              <w:t>医疗机构类别：</w:t>
            </w:r>
          </w:p>
        </w:tc>
        <w:tc>
          <w:tcPr>
            <w:tcW w:w="5894" w:type="dxa"/>
            <w:vAlign w:val="center"/>
          </w:tcPr>
          <w:p w14:paraId="1AA8FB39">
            <w:pPr>
              <w:autoSpaceDE w:val="0"/>
              <w:autoSpaceDN w:val="0"/>
              <w:adjustRightInd w:val="0"/>
              <w:spacing w:line="440" w:lineRule="exact"/>
              <w:jc w:val="center"/>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pP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t>中医</w:t>
            </w:r>
            <w:r>
              <w:rPr>
                <w:rFonts w:hint="eastAsia" w:ascii="宋体" w:hAnsi="宋体" w:cs="宋体"/>
                <w:b w:val="0"/>
                <w:bCs w:val="0"/>
                <w:color w:val="000000" w:themeColor="text1"/>
                <w:sz w:val="28"/>
                <w:szCs w:val="28"/>
                <w:highlight w:val="none"/>
                <w:lang w:val="en-US" w:eastAsia="zh-CN"/>
                <w14:textFill>
                  <w14:solidFill>
                    <w14:schemeClr w14:val="tx1"/>
                  </w14:solidFill>
                </w14:textFill>
              </w:rPr>
              <w:t>（综合）</w:t>
            </w: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t>医院</w:t>
            </w:r>
          </w:p>
        </w:tc>
      </w:tr>
      <w:tr w14:paraId="10C694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3373" w:type="dxa"/>
            <w:vAlign w:val="center"/>
          </w:tcPr>
          <w:p w14:paraId="6EFD0ED5">
            <w:pPr>
              <w:autoSpaceDE w:val="0"/>
              <w:autoSpaceDN w:val="0"/>
              <w:adjustRightInd w:val="0"/>
              <w:spacing w:line="440" w:lineRule="exact"/>
              <w:jc w:val="center"/>
              <w:rPr>
                <w:rFonts w:hint="eastAsia" w:ascii="宋体" w:hAnsi="宋体" w:eastAsia="宋体" w:cs="宋体"/>
                <w:b w:val="0"/>
                <w:bCs w:val="0"/>
                <w:color w:val="000000" w:themeColor="text1"/>
                <w:sz w:val="28"/>
                <w:szCs w:val="28"/>
                <w:highlight w:val="none"/>
                <w14:textFill>
                  <w14:solidFill>
                    <w14:schemeClr w14:val="tx1"/>
                  </w14:solidFill>
                </w14:textFill>
              </w:rPr>
            </w:pPr>
            <w:r>
              <w:rPr>
                <w:rFonts w:hint="eastAsia" w:ascii="宋体" w:hAnsi="宋体" w:eastAsia="宋体" w:cs="宋体"/>
                <w:b w:val="0"/>
                <w:bCs w:val="0"/>
                <w:color w:val="000000" w:themeColor="text1"/>
                <w:sz w:val="28"/>
                <w:szCs w:val="28"/>
                <w:highlight w:val="none"/>
                <w14:textFill>
                  <w14:solidFill>
                    <w14:schemeClr w14:val="tx1"/>
                  </w14:solidFill>
                </w14:textFill>
              </w:rPr>
              <w:t>床位数：</w:t>
            </w:r>
          </w:p>
        </w:tc>
        <w:tc>
          <w:tcPr>
            <w:tcW w:w="5894" w:type="dxa"/>
            <w:vAlign w:val="center"/>
          </w:tcPr>
          <w:p w14:paraId="74D265A1">
            <w:pPr>
              <w:autoSpaceDE w:val="0"/>
              <w:autoSpaceDN w:val="0"/>
              <w:adjustRightInd w:val="0"/>
              <w:spacing w:line="440" w:lineRule="exact"/>
              <w:jc w:val="center"/>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pPr>
            <w:r>
              <w:rPr>
                <w:rFonts w:hint="eastAsia" w:ascii="宋体" w:hAnsi="宋体" w:cs="宋体"/>
                <w:b w:val="0"/>
                <w:bCs w:val="0"/>
                <w:color w:val="000000" w:themeColor="text1"/>
                <w:sz w:val="28"/>
                <w:szCs w:val="28"/>
                <w:highlight w:val="none"/>
                <w:lang w:val="en-US" w:eastAsia="zh-CN"/>
                <w14:textFill>
                  <w14:solidFill>
                    <w14:schemeClr w14:val="tx1"/>
                  </w14:solidFill>
                </w14:textFill>
              </w:rPr>
              <w:t>7</w:t>
            </w: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t>07张</w:t>
            </w:r>
          </w:p>
        </w:tc>
      </w:tr>
      <w:tr w14:paraId="4D7F78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trPr>
        <w:tc>
          <w:tcPr>
            <w:tcW w:w="3373" w:type="dxa"/>
            <w:vAlign w:val="center"/>
          </w:tcPr>
          <w:p w14:paraId="7803C108">
            <w:pPr>
              <w:autoSpaceDE w:val="0"/>
              <w:autoSpaceDN w:val="0"/>
              <w:adjustRightInd w:val="0"/>
              <w:spacing w:line="440" w:lineRule="exact"/>
              <w:jc w:val="center"/>
              <w:rPr>
                <w:rFonts w:hint="eastAsia" w:ascii="宋体" w:hAnsi="宋体" w:eastAsia="宋体" w:cs="宋体"/>
                <w:b w:val="0"/>
                <w:bCs w:val="0"/>
                <w:color w:val="000000" w:themeColor="text1"/>
                <w:sz w:val="28"/>
                <w:szCs w:val="28"/>
                <w:highlight w:val="none"/>
                <w14:textFill>
                  <w14:solidFill>
                    <w14:schemeClr w14:val="tx1"/>
                  </w14:solidFill>
                </w14:textFill>
              </w:rPr>
            </w:pPr>
            <w:r>
              <w:rPr>
                <w:rFonts w:hint="eastAsia" w:ascii="宋体" w:hAnsi="宋体" w:eastAsia="宋体" w:cs="宋体"/>
                <w:b w:val="0"/>
                <w:bCs w:val="0"/>
                <w:color w:val="000000" w:themeColor="text1"/>
                <w:sz w:val="28"/>
                <w:szCs w:val="28"/>
                <w:highlight w:val="none"/>
                <w14:textFill>
                  <w14:solidFill>
                    <w14:schemeClr w14:val="tx1"/>
                  </w14:solidFill>
                </w14:textFill>
              </w:rPr>
              <w:t>医务人员数：</w:t>
            </w:r>
          </w:p>
        </w:tc>
        <w:tc>
          <w:tcPr>
            <w:tcW w:w="5894" w:type="dxa"/>
            <w:vAlign w:val="center"/>
          </w:tcPr>
          <w:p w14:paraId="499883F4">
            <w:pPr>
              <w:autoSpaceDE w:val="0"/>
              <w:autoSpaceDN w:val="0"/>
              <w:adjustRightInd w:val="0"/>
              <w:spacing w:line="440" w:lineRule="exact"/>
              <w:jc w:val="center"/>
              <w:rPr>
                <w:rFonts w:hint="eastAsia" w:ascii="宋体" w:hAnsi="宋体" w:eastAsia="宋体" w:cs="宋体"/>
                <w:b w:val="0"/>
                <w:bCs w:val="0"/>
                <w:color w:val="000000" w:themeColor="text1"/>
                <w:sz w:val="28"/>
                <w:szCs w:val="28"/>
                <w:highlight w:val="none"/>
                <w:lang w:eastAsia="zh-CN"/>
                <w14:textFill>
                  <w14:solidFill>
                    <w14:schemeClr w14:val="tx1"/>
                  </w14:solidFill>
                </w14:textFill>
              </w:rPr>
            </w:pP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t>6</w:t>
            </w:r>
            <w:r>
              <w:rPr>
                <w:rFonts w:hint="eastAsia" w:ascii="宋体" w:hAnsi="宋体" w:cs="宋体"/>
                <w:b w:val="0"/>
                <w:bCs w:val="0"/>
                <w:color w:val="000000" w:themeColor="text1"/>
                <w:sz w:val="28"/>
                <w:szCs w:val="28"/>
                <w:highlight w:val="none"/>
                <w:lang w:val="en-US" w:eastAsia="zh-CN"/>
                <w14:textFill>
                  <w14:solidFill>
                    <w14:schemeClr w14:val="tx1"/>
                  </w14:solidFill>
                </w14:textFill>
              </w:rPr>
              <w:t>24</w:t>
            </w:r>
            <w:r>
              <w:rPr>
                <w:rFonts w:hint="eastAsia" w:ascii="宋体" w:hAnsi="宋体" w:eastAsia="宋体" w:cs="宋体"/>
                <w:b w:val="0"/>
                <w:bCs w:val="0"/>
                <w:color w:val="000000" w:themeColor="text1"/>
                <w:sz w:val="28"/>
                <w:szCs w:val="28"/>
                <w:highlight w:val="none"/>
                <w:lang w:eastAsia="zh-CN"/>
                <w14:textFill>
                  <w14:solidFill>
                    <w14:schemeClr w14:val="tx1"/>
                  </w14:solidFill>
                </w14:textFill>
              </w:rPr>
              <w:t>人</w:t>
            </w:r>
          </w:p>
        </w:tc>
      </w:tr>
      <w:tr w14:paraId="2DC9AE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7" w:hRule="atLeast"/>
        </w:trPr>
        <w:tc>
          <w:tcPr>
            <w:tcW w:w="3373" w:type="dxa"/>
            <w:vAlign w:val="center"/>
          </w:tcPr>
          <w:p w14:paraId="6D2542D5">
            <w:pPr>
              <w:autoSpaceDE w:val="0"/>
              <w:autoSpaceDN w:val="0"/>
              <w:adjustRightInd w:val="0"/>
              <w:spacing w:line="440" w:lineRule="exact"/>
              <w:jc w:val="center"/>
              <w:rPr>
                <w:rFonts w:hint="eastAsia" w:ascii="宋体" w:hAnsi="宋体" w:eastAsia="宋体" w:cs="宋体"/>
                <w:b w:val="0"/>
                <w:bCs w:val="0"/>
                <w:color w:val="000000" w:themeColor="text1"/>
                <w:sz w:val="28"/>
                <w:szCs w:val="28"/>
                <w:highlight w:val="none"/>
                <w14:textFill>
                  <w14:solidFill>
                    <w14:schemeClr w14:val="tx1"/>
                  </w14:solidFill>
                </w14:textFill>
              </w:rPr>
            </w:pPr>
            <w:r>
              <w:rPr>
                <w:rFonts w:hint="eastAsia" w:ascii="宋体" w:hAnsi="宋体" w:eastAsia="宋体" w:cs="宋体"/>
                <w:b w:val="0"/>
                <w:bCs w:val="0"/>
                <w:color w:val="000000" w:themeColor="text1"/>
                <w:sz w:val="28"/>
                <w:szCs w:val="28"/>
                <w:highlight w:val="none"/>
                <w14:textFill>
                  <w14:solidFill>
                    <w14:schemeClr w14:val="tx1"/>
                  </w14:solidFill>
                </w14:textFill>
              </w:rPr>
              <w:t>上年度门（急）诊人次：</w:t>
            </w:r>
          </w:p>
        </w:tc>
        <w:tc>
          <w:tcPr>
            <w:tcW w:w="5894" w:type="dxa"/>
            <w:vAlign w:val="center"/>
          </w:tcPr>
          <w:p w14:paraId="1E4A9D2A">
            <w:pPr>
              <w:autoSpaceDE w:val="0"/>
              <w:autoSpaceDN w:val="0"/>
              <w:adjustRightInd w:val="0"/>
              <w:spacing w:line="440" w:lineRule="exact"/>
              <w:jc w:val="center"/>
              <w:rPr>
                <w:rFonts w:hint="eastAsia" w:ascii="宋体" w:hAnsi="宋体" w:eastAsia="宋体" w:cs="宋体"/>
                <w:b w:val="0"/>
                <w:bCs w:val="0"/>
                <w:color w:val="000000" w:themeColor="text1"/>
                <w:sz w:val="28"/>
                <w:szCs w:val="28"/>
                <w:highlight w:val="none"/>
                <w:lang w:eastAsia="zh-CN"/>
                <w14:textFill>
                  <w14:solidFill>
                    <w14:schemeClr w14:val="tx1"/>
                  </w14:solidFill>
                </w14:textFill>
              </w:rPr>
            </w:pP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t>5</w:t>
            </w:r>
            <w:r>
              <w:rPr>
                <w:rFonts w:hint="eastAsia" w:ascii="宋体" w:hAnsi="宋体" w:cs="宋体"/>
                <w:b w:val="0"/>
                <w:bCs w:val="0"/>
                <w:color w:val="000000" w:themeColor="text1"/>
                <w:sz w:val="28"/>
                <w:szCs w:val="28"/>
                <w:highlight w:val="none"/>
                <w:lang w:val="en-US" w:eastAsia="zh-CN"/>
                <w14:textFill>
                  <w14:solidFill>
                    <w14:schemeClr w14:val="tx1"/>
                  </w14:solidFill>
                </w14:textFill>
              </w:rPr>
              <w:t>42</w:t>
            </w: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t>,</w:t>
            </w:r>
            <w:r>
              <w:rPr>
                <w:rFonts w:hint="eastAsia" w:ascii="宋体" w:hAnsi="宋体" w:cs="宋体"/>
                <w:b w:val="0"/>
                <w:bCs w:val="0"/>
                <w:color w:val="000000" w:themeColor="text1"/>
                <w:sz w:val="28"/>
                <w:szCs w:val="28"/>
                <w:highlight w:val="none"/>
                <w:lang w:val="en-US" w:eastAsia="zh-CN"/>
                <w14:textFill>
                  <w14:solidFill>
                    <w14:schemeClr w14:val="tx1"/>
                  </w14:solidFill>
                </w14:textFill>
              </w:rPr>
              <w:t>326</w:t>
            </w:r>
            <w:r>
              <w:rPr>
                <w:rFonts w:hint="eastAsia" w:ascii="宋体" w:hAnsi="宋体" w:eastAsia="宋体" w:cs="宋体"/>
                <w:b w:val="0"/>
                <w:bCs w:val="0"/>
                <w:color w:val="000000" w:themeColor="text1"/>
                <w:sz w:val="28"/>
                <w:szCs w:val="28"/>
                <w:highlight w:val="none"/>
                <w:lang w:eastAsia="zh-CN"/>
                <w14:textFill>
                  <w14:solidFill>
                    <w14:schemeClr w14:val="tx1"/>
                  </w14:solidFill>
                </w14:textFill>
              </w:rPr>
              <w:t>人次</w:t>
            </w:r>
          </w:p>
        </w:tc>
      </w:tr>
      <w:tr w14:paraId="4A62A3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trPr>
        <w:tc>
          <w:tcPr>
            <w:tcW w:w="3373" w:type="dxa"/>
            <w:vAlign w:val="center"/>
          </w:tcPr>
          <w:p w14:paraId="5E1D86C0">
            <w:pPr>
              <w:autoSpaceDE w:val="0"/>
              <w:autoSpaceDN w:val="0"/>
              <w:adjustRightInd w:val="0"/>
              <w:spacing w:line="440" w:lineRule="exact"/>
              <w:jc w:val="center"/>
              <w:rPr>
                <w:rFonts w:hint="eastAsia" w:ascii="宋体" w:hAnsi="宋体" w:eastAsia="宋体" w:cs="宋体"/>
                <w:b w:val="0"/>
                <w:bCs w:val="0"/>
                <w:color w:val="000000" w:themeColor="text1"/>
                <w:sz w:val="28"/>
                <w:szCs w:val="28"/>
                <w:highlight w:val="none"/>
                <w14:textFill>
                  <w14:solidFill>
                    <w14:schemeClr w14:val="tx1"/>
                  </w14:solidFill>
                </w14:textFill>
              </w:rPr>
            </w:pPr>
            <w:r>
              <w:rPr>
                <w:rFonts w:hint="eastAsia" w:ascii="宋体" w:hAnsi="宋体" w:eastAsia="宋体" w:cs="宋体"/>
                <w:b w:val="0"/>
                <w:bCs w:val="0"/>
                <w:color w:val="000000" w:themeColor="text1"/>
                <w:sz w:val="28"/>
                <w:szCs w:val="28"/>
                <w:highlight w:val="none"/>
                <w14:textFill>
                  <w14:solidFill>
                    <w14:schemeClr w14:val="tx1"/>
                  </w14:solidFill>
                </w14:textFill>
              </w:rPr>
              <w:t>上年度出院人数：</w:t>
            </w:r>
          </w:p>
        </w:tc>
        <w:tc>
          <w:tcPr>
            <w:tcW w:w="5894" w:type="dxa"/>
            <w:vAlign w:val="center"/>
          </w:tcPr>
          <w:p w14:paraId="23157A3D">
            <w:pPr>
              <w:autoSpaceDE w:val="0"/>
              <w:autoSpaceDN w:val="0"/>
              <w:adjustRightInd w:val="0"/>
              <w:spacing w:line="440" w:lineRule="exact"/>
              <w:jc w:val="center"/>
              <w:rPr>
                <w:rFonts w:hint="eastAsia" w:ascii="宋体" w:hAnsi="宋体" w:eastAsia="宋体" w:cs="宋体"/>
                <w:b w:val="0"/>
                <w:bCs w:val="0"/>
                <w:color w:val="000000" w:themeColor="text1"/>
                <w:sz w:val="28"/>
                <w:szCs w:val="28"/>
                <w:highlight w:val="none"/>
                <w:lang w:eastAsia="zh-CN"/>
                <w14:textFill>
                  <w14:solidFill>
                    <w14:schemeClr w14:val="tx1"/>
                  </w14:solidFill>
                </w14:textFill>
              </w:rPr>
            </w:pP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t>15,</w:t>
            </w:r>
            <w:r>
              <w:rPr>
                <w:rFonts w:hint="eastAsia" w:ascii="宋体" w:hAnsi="宋体" w:cs="宋体"/>
                <w:b w:val="0"/>
                <w:bCs w:val="0"/>
                <w:color w:val="000000" w:themeColor="text1"/>
                <w:sz w:val="28"/>
                <w:szCs w:val="28"/>
                <w:highlight w:val="none"/>
                <w:lang w:val="en-US" w:eastAsia="zh-CN"/>
                <w14:textFill>
                  <w14:solidFill>
                    <w14:schemeClr w14:val="tx1"/>
                  </w14:solidFill>
                </w14:textFill>
              </w:rPr>
              <w:t>662</w:t>
            </w:r>
            <w:r>
              <w:rPr>
                <w:rFonts w:hint="eastAsia" w:ascii="宋体" w:hAnsi="宋体" w:eastAsia="宋体" w:cs="宋体"/>
                <w:b w:val="0"/>
                <w:bCs w:val="0"/>
                <w:color w:val="000000" w:themeColor="text1"/>
                <w:sz w:val="28"/>
                <w:szCs w:val="28"/>
                <w:highlight w:val="none"/>
                <w:lang w:eastAsia="zh-CN"/>
                <w14:textFill>
                  <w14:solidFill>
                    <w14:schemeClr w14:val="tx1"/>
                  </w14:solidFill>
                </w14:textFill>
              </w:rPr>
              <w:t>人次</w:t>
            </w:r>
          </w:p>
        </w:tc>
      </w:tr>
    </w:tbl>
    <w:p w14:paraId="726E52E4">
      <w:pPr>
        <w:pStyle w:val="4"/>
        <w:rPr>
          <w:rFonts w:hint="eastAsia" w:ascii="宋体" w:hAnsi="宋体" w:eastAsia="宋体" w:cs="宋体"/>
          <w:color w:val="auto"/>
          <w:kern w:val="0"/>
          <w:sz w:val="28"/>
          <w:szCs w:val="28"/>
          <w:highlight w:val="none"/>
        </w:rPr>
      </w:pPr>
      <w:bookmarkStart w:id="2" w:name="_Toc5760"/>
      <w:bookmarkStart w:id="3" w:name="_Toc17385"/>
      <w:bookmarkStart w:id="4" w:name="_Toc21373"/>
      <w:r>
        <w:rPr>
          <w:rFonts w:hint="eastAsia" w:ascii="宋体" w:hAnsi="宋体" w:cs="宋体"/>
          <w:color w:val="auto"/>
          <w:sz w:val="28"/>
          <w:szCs w:val="28"/>
          <w:highlight w:val="none"/>
          <w:lang w:val="en-US" w:eastAsia="zh-CN"/>
        </w:rPr>
        <w:t>三</w:t>
      </w:r>
      <w:r>
        <w:rPr>
          <w:rFonts w:hint="eastAsia" w:ascii="宋体" w:hAnsi="宋体" w:eastAsia="宋体" w:cs="宋体"/>
          <w:color w:val="auto"/>
          <w:sz w:val="28"/>
          <w:szCs w:val="28"/>
          <w:highlight w:val="none"/>
        </w:rPr>
        <w:t>、项目内容及要求</w:t>
      </w:r>
      <w:bookmarkEnd w:id="2"/>
      <w:bookmarkEnd w:id="3"/>
      <w:bookmarkEnd w:id="4"/>
      <w:r>
        <w:rPr>
          <w:rFonts w:hint="eastAsia" w:ascii="宋体" w:hAnsi="宋体" w:eastAsia="宋体" w:cs="宋体"/>
          <w:color w:val="auto"/>
          <w:kern w:val="0"/>
          <w:sz w:val="28"/>
          <w:szCs w:val="28"/>
          <w:highlight w:val="none"/>
        </w:rPr>
        <w:t xml:space="preserve">  </w:t>
      </w:r>
    </w:p>
    <w:tbl>
      <w:tblPr>
        <w:tblStyle w:val="8"/>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5"/>
        <w:gridCol w:w="1961"/>
        <w:gridCol w:w="4732"/>
      </w:tblGrid>
      <w:tr w14:paraId="4FB9E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2" w:hRule="atLeast"/>
          <w:jc w:val="center"/>
        </w:trPr>
        <w:tc>
          <w:tcPr>
            <w:tcW w:w="2505" w:type="dxa"/>
            <w:vAlign w:val="center"/>
          </w:tcPr>
          <w:p w14:paraId="198F9AD8">
            <w:pPr>
              <w:tabs>
                <w:tab w:val="left" w:pos="360"/>
              </w:tabs>
              <w:spacing w:line="276"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采购内容</w:t>
            </w:r>
          </w:p>
        </w:tc>
        <w:tc>
          <w:tcPr>
            <w:tcW w:w="1961" w:type="dxa"/>
            <w:vAlign w:val="center"/>
          </w:tcPr>
          <w:p w14:paraId="19A00065">
            <w:pPr>
              <w:tabs>
                <w:tab w:val="left" w:pos="360"/>
              </w:tabs>
              <w:spacing w:line="276"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采购预算</w:t>
            </w:r>
          </w:p>
        </w:tc>
        <w:tc>
          <w:tcPr>
            <w:tcW w:w="4732" w:type="dxa"/>
            <w:vAlign w:val="center"/>
          </w:tcPr>
          <w:p w14:paraId="288305A4">
            <w:pPr>
              <w:tabs>
                <w:tab w:val="left" w:pos="360"/>
              </w:tabs>
              <w:spacing w:line="276"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保险期限</w:t>
            </w:r>
          </w:p>
        </w:tc>
      </w:tr>
      <w:tr w14:paraId="25C38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505" w:type="dxa"/>
            <w:vAlign w:val="center"/>
          </w:tcPr>
          <w:p w14:paraId="6C7DE62E">
            <w:pPr>
              <w:tabs>
                <w:tab w:val="left" w:pos="360"/>
              </w:tabs>
              <w:spacing w:line="276"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医疗责任保险服务</w:t>
            </w:r>
          </w:p>
        </w:tc>
        <w:tc>
          <w:tcPr>
            <w:tcW w:w="1961" w:type="dxa"/>
            <w:vAlign w:val="center"/>
          </w:tcPr>
          <w:p w14:paraId="6EF1B26B">
            <w:pPr>
              <w:tabs>
                <w:tab w:val="left" w:pos="360"/>
              </w:tabs>
              <w:spacing w:line="276" w:lineRule="auto"/>
              <w:jc w:val="center"/>
              <w:rPr>
                <w:rFonts w:hint="default"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b w:val="0"/>
                <w:bCs w:val="0"/>
                <w:color w:val="auto"/>
                <w:sz w:val="28"/>
                <w:szCs w:val="28"/>
                <w:highlight w:val="none"/>
              </w:rPr>
              <w:t>RMB</w:t>
            </w:r>
            <w:r>
              <w:rPr>
                <w:rFonts w:hint="eastAsia" w:ascii="宋体" w:hAnsi="宋体" w:eastAsia="宋体" w:cs="宋体"/>
                <w:b w:val="0"/>
                <w:bCs w:val="0"/>
                <w:color w:val="auto"/>
                <w:sz w:val="28"/>
                <w:szCs w:val="28"/>
                <w:highlight w:val="none"/>
                <w:lang w:val="en-US" w:eastAsia="zh-CN"/>
              </w:rPr>
              <w:t xml:space="preserve"> </w:t>
            </w:r>
            <w:r>
              <w:rPr>
                <w:rFonts w:hint="eastAsia" w:ascii="宋体" w:hAnsi="宋体" w:cs="宋体"/>
                <w:b w:val="0"/>
                <w:bCs w:val="0"/>
                <w:color w:val="auto"/>
                <w:sz w:val="28"/>
                <w:szCs w:val="28"/>
                <w:highlight w:val="none"/>
                <w:lang w:val="en-US" w:eastAsia="zh-CN"/>
              </w:rPr>
              <w:t>61</w:t>
            </w:r>
            <w:r>
              <w:rPr>
                <w:rFonts w:hint="eastAsia" w:ascii="宋体" w:hAnsi="宋体" w:eastAsia="宋体" w:cs="宋体"/>
                <w:b w:val="0"/>
                <w:bCs w:val="0"/>
                <w:color w:val="auto"/>
                <w:sz w:val="28"/>
                <w:szCs w:val="28"/>
                <w:highlight w:val="none"/>
                <w:lang w:val="en-US" w:eastAsia="zh-CN"/>
              </w:rPr>
              <w:t>.</w:t>
            </w:r>
            <w:r>
              <w:rPr>
                <w:rFonts w:hint="eastAsia" w:ascii="宋体" w:hAnsi="宋体" w:cs="宋体"/>
                <w:b w:val="0"/>
                <w:bCs w:val="0"/>
                <w:color w:val="auto"/>
                <w:sz w:val="28"/>
                <w:szCs w:val="28"/>
                <w:highlight w:val="none"/>
                <w:lang w:val="en-US" w:eastAsia="zh-CN"/>
              </w:rPr>
              <w:t>3</w:t>
            </w:r>
            <w:r>
              <w:rPr>
                <w:rFonts w:hint="eastAsia" w:ascii="宋体" w:hAnsi="宋体" w:eastAsia="宋体" w:cs="宋体"/>
                <w:b w:val="0"/>
                <w:bCs w:val="0"/>
                <w:color w:val="auto"/>
                <w:sz w:val="28"/>
                <w:szCs w:val="28"/>
                <w:highlight w:val="none"/>
                <w:lang w:val="en-US" w:eastAsia="zh-CN"/>
              </w:rPr>
              <w:t>万元</w:t>
            </w:r>
          </w:p>
        </w:tc>
        <w:tc>
          <w:tcPr>
            <w:tcW w:w="4732" w:type="dxa"/>
            <w:vAlign w:val="center"/>
          </w:tcPr>
          <w:p w14:paraId="5092C4F9">
            <w:pPr>
              <w:tabs>
                <w:tab w:val="left" w:pos="360"/>
              </w:tabs>
              <w:spacing w:line="276" w:lineRule="auto"/>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t>一年，自 202</w:t>
            </w:r>
            <w:r>
              <w:rPr>
                <w:rFonts w:hint="eastAsia" w:ascii="宋体" w:hAnsi="宋体" w:cs="宋体"/>
                <w:b w:val="0"/>
                <w:bCs w:val="0"/>
                <w:color w:val="000000" w:themeColor="text1"/>
                <w:sz w:val="28"/>
                <w:szCs w:val="28"/>
                <w:highlight w:val="none"/>
                <w:lang w:val="en-US" w:eastAsia="zh-CN"/>
                <w14:textFill>
                  <w14:solidFill>
                    <w14:schemeClr w14:val="tx1"/>
                  </w14:solidFill>
                </w14:textFill>
              </w:rPr>
              <w:t>4</w:t>
            </w: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t>年12月26日零时起至202</w:t>
            </w:r>
            <w:r>
              <w:rPr>
                <w:rFonts w:hint="eastAsia" w:ascii="宋体" w:hAnsi="宋体" w:cs="宋体"/>
                <w:b w:val="0"/>
                <w:bCs w:val="0"/>
                <w:color w:val="000000" w:themeColor="text1"/>
                <w:sz w:val="28"/>
                <w:szCs w:val="28"/>
                <w:highlight w:val="none"/>
                <w:lang w:val="en-US" w:eastAsia="zh-CN"/>
                <w14:textFill>
                  <w14:solidFill>
                    <w14:schemeClr w14:val="tx1"/>
                  </w14:solidFill>
                </w14:textFill>
              </w:rPr>
              <w:t>5</w:t>
            </w: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t>年12月25日二十四时止</w:t>
            </w:r>
          </w:p>
        </w:tc>
      </w:tr>
    </w:tbl>
    <w:p w14:paraId="6B9D2A7A">
      <w:pPr>
        <w:rPr>
          <w:rFonts w:hint="eastAsia" w:ascii="宋体" w:hAnsi="宋体" w:eastAsia="宋体" w:cs="宋体"/>
          <w:b/>
          <w:color w:val="auto"/>
          <w:kern w:val="0"/>
          <w:sz w:val="28"/>
          <w:szCs w:val="28"/>
          <w:highlight w:val="none"/>
          <w:lang w:val="en-US" w:eastAsia="zh-CN" w:bidi="ar-SA"/>
        </w:rPr>
      </w:pPr>
      <w:r>
        <w:rPr>
          <w:rFonts w:hint="eastAsia" w:ascii="宋体" w:hAnsi="宋体" w:eastAsia="宋体" w:cs="宋体"/>
          <w:b/>
          <w:color w:val="auto"/>
          <w:kern w:val="0"/>
          <w:sz w:val="28"/>
          <w:szCs w:val="28"/>
          <w:highlight w:val="none"/>
          <w:lang w:val="en-US" w:eastAsia="zh-CN" w:bidi="ar-SA"/>
        </w:rPr>
        <w:t>四、项目具体需求</w:t>
      </w:r>
    </w:p>
    <w:p w14:paraId="48ABCB29">
      <w:pPr>
        <w:ind w:firstLine="560" w:firstLineChars="200"/>
        <w:rPr>
          <w:rFonts w:hint="eastAsia"/>
        </w:rPr>
      </w:pPr>
      <w:r>
        <w:rPr>
          <w:rFonts w:hint="eastAsia" w:ascii="宋体" w:hAnsi="宋体" w:eastAsia="宋体" w:cs="宋体"/>
          <w:b w:val="0"/>
          <w:bCs/>
          <w:color w:val="auto"/>
          <w:sz w:val="28"/>
          <w:szCs w:val="28"/>
          <w:highlight w:val="none"/>
          <w:lang w:val="en-US" w:eastAsia="zh-CN"/>
        </w:rPr>
        <w:t>保险方案须包含</w:t>
      </w:r>
      <w:r>
        <w:rPr>
          <w:rFonts w:hint="eastAsia" w:ascii="宋体" w:hAnsi="宋体" w:eastAsia="宋体" w:cs="宋体"/>
          <w:b w:val="0"/>
          <w:bCs/>
          <w:color w:val="auto"/>
          <w:sz w:val="28"/>
          <w:szCs w:val="28"/>
          <w:highlight w:val="none"/>
        </w:rPr>
        <w:t>医疗责任保险保障方案、保险索赔、理赔处理程序预案</w:t>
      </w:r>
      <w:r>
        <w:rPr>
          <w:rFonts w:hint="eastAsia" w:ascii="宋体" w:hAnsi="宋体" w:eastAsia="宋体" w:cs="宋体"/>
          <w:b w:val="0"/>
          <w:bCs/>
          <w:color w:val="auto"/>
          <w:sz w:val="28"/>
          <w:szCs w:val="28"/>
          <w:highlight w:val="none"/>
          <w:lang w:eastAsia="zh-CN"/>
        </w:rPr>
        <w:t>、</w:t>
      </w:r>
      <w:r>
        <w:rPr>
          <w:rFonts w:hint="eastAsia" w:ascii="宋体" w:hAnsi="宋体" w:eastAsia="宋体" w:cs="宋体"/>
          <w:b w:val="0"/>
          <w:bCs/>
          <w:color w:val="auto"/>
          <w:sz w:val="28"/>
          <w:szCs w:val="28"/>
          <w:highlight w:val="none"/>
        </w:rPr>
        <w:t>医疗机构医疗责任保险条款</w:t>
      </w:r>
      <w:r>
        <w:rPr>
          <w:rFonts w:hint="eastAsia" w:ascii="宋体" w:hAnsi="宋体" w:eastAsia="宋体" w:cs="宋体"/>
          <w:b w:val="0"/>
          <w:bCs/>
          <w:color w:val="auto"/>
          <w:sz w:val="28"/>
          <w:szCs w:val="28"/>
          <w:highlight w:val="none"/>
          <w:lang w:eastAsia="zh-CN"/>
        </w:rPr>
        <w:t>、</w:t>
      </w:r>
      <w:r>
        <w:rPr>
          <w:rFonts w:hint="eastAsia" w:ascii="宋体" w:hAnsi="宋体" w:eastAsia="宋体" w:cs="宋体"/>
          <w:b w:val="0"/>
          <w:bCs/>
          <w:color w:val="auto"/>
          <w:sz w:val="28"/>
          <w:szCs w:val="28"/>
          <w:highlight w:val="none"/>
          <w:lang w:val="en-US" w:eastAsia="zh-CN"/>
        </w:rPr>
        <w:t>提供服务内容</w:t>
      </w:r>
      <w:r>
        <w:rPr>
          <w:rFonts w:hint="eastAsia" w:ascii="宋体" w:hAnsi="宋体" w:eastAsia="宋体" w:cs="宋体"/>
          <w:b w:val="0"/>
          <w:bCs/>
          <w:color w:val="auto"/>
          <w:sz w:val="28"/>
          <w:szCs w:val="28"/>
          <w:highlight w:val="none"/>
          <w:lang w:eastAsia="zh-CN"/>
        </w:rPr>
        <w:t>及</w:t>
      </w:r>
      <w:r>
        <w:rPr>
          <w:rFonts w:hint="eastAsia" w:ascii="宋体" w:hAnsi="宋体" w:eastAsia="宋体" w:cs="宋体"/>
          <w:b w:val="0"/>
          <w:bCs/>
          <w:color w:val="auto"/>
          <w:sz w:val="28"/>
          <w:szCs w:val="28"/>
          <w:highlight w:val="none"/>
        </w:rPr>
        <w:t>其他</w:t>
      </w:r>
      <w:r>
        <w:rPr>
          <w:rFonts w:hint="eastAsia" w:ascii="宋体" w:hAnsi="宋体" w:eastAsia="宋体" w:cs="宋体"/>
          <w:b w:val="0"/>
          <w:bCs/>
          <w:color w:val="auto"/>
          <w:sz w:val="28"/>
          <w:szCs w:val="28"/>
          <w:highlight w:val="none"/>
          <w:lang w:val="en-US" w:eastAsia="zh-CN"/>
        </w:rPr>
        <w:t>内容。</w:t>
      </w:r>
    </w:p>
    <w:tbl>
      <w:tblPr>
        <w:tblStyle w:val="8"/>
        <w:tblW w:w="97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69"/>
        <w:gridCol w:w="7545"/>
      </w:tblGrid>
      <w:tr w14:paraId="1DC4F0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69" w:type="dxa"/>
            <w:vAlign w:val="center"/>
          </w:tcPr>
          <w:p w14:paraId="264AA001">
            <w:pPr>
              <w:tabs>
                <w:tab w:val="left" w:pos="1180"/>
              </w:tabs>
              <w:spacing w:line="400" w:lineRule="exact"/>
              <w:ind w:left="49" w:right="-2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w:t>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t>目</w:t>
            </w:r>
          </w:p>
        </w:tc>
        <w:tc>
          <w:tcPr>
            <w:tcW w:w="7545" w:type="dxa"/>
            <w:vAlign w:val="center"/>
          </w:tcPr>
          <w:p w14:paraId="2994BD6A">
            <w:pPr>
              <w:tabs>
                <w:tab w:val="left" w:pos="4000"/>
              </w:tabs>
              <w:spacing w:line="400" w:lineRule="exact"/>
              <w:ind w:left="2798" w:right="278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内</w:t>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t>容</w:t>
            </w:r>
          </w:p>
        </w:tc>
      </w:tr>
      <w:tr w14:paraId="6536DE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9714" w:type="dxa"/>
            <w:gridSpan w:val="2"/>
            <w:vAlign w:val="center"/>
          </w:tcPr>
          <w:p w14:paraId="390BF045">
            <w:pPr>
              <w:spacing w:line="400" w:lineRule="exact"/>
              <w:ind w:left="102" w:right="-20"/>
              <w:jc w:val="left"/>
              <w:rPr>
                <w:rFonts w:hint="eastAsia" w:ascii="宋体" w:hAnsi="宋体" w:eastAsia="宋体" w:cs="宋体"/>
                <w:b/>
                <w:color w:val="auto"/>
                <w:sz w:val="24"/>
                <w:szCs w:val="24"/>
                <w:highlight w:val="none"/>
              </w:rPr>
            </w:pPr>
            <w:r>
              <w:rPr>
                <w:rFonts w:hint="eastAsia" w:ascii="宋体" w:hAnsi="宋体" w:eastAsia="宋体" w:cs="宋体"/>
                <w:b/>
                <w:color w:val="auto"/>
                <w:spacing w:val="2"/>
                <w:sz w:val="24"/>
                <w:szCs w:val="24"/>
                <w:highlight w:val="none"/>
              </w:rPr>
              <w:t>1</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pacing w:val="1"/>
                <w:sz w:val="24"/>
                <w:szCs w:val="24"/>
                <w:highlight w:val="none"/>
              </w:rPr>
              <w:t>投保人</w:t>
            </w:r>
          </w:p>
        </w:tc>
      </w:tr>
      <w:tr w14:paraId="31DC5F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exact"/>
          <w:jc w:val="center"/>
        </w:trPr>
        <w:tc>
          <w:tcPr>
            <w:tcW w:w="2169" w:type="dxa"/>
            <w:vAlign w:val="center"/>
          </w:tcPr>
          <w:p w14:paraId="003E8F89">
            <w:pPr>
              <w:spacing w:line="400" w:lineRule="exact"/>
              <w:ind w:left="102" w:right="-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投保人名称：</w:t>
            </w:r>
          </w:p>
        </w:tc>
        <w:tc>
          <w:tcPr>
            <w:tcW w:w="7545" w:type="dxa"/>
            <w:vAlign w:val="center"/>
          </w:tcPr>
          <w:p w14:paraId="12D56D5C">
            <w:pPr>
              <w:spacing w:line="400" w:lineRule="exact"/>
              <w:ind w:left="102" w:right="167"/>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广州医科大学附属中医医院  </w:t>
            </w:r>
          </w:p>
        </w:tc>
      </w:tr>
      <w:tr w14:paraId="6A0F72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exact"/>
          <w:jc w:val="center"/>
        </w:trPr>
        <w:tc>
          <w:tcPr>
            <w:tcW w:w="2169" w:type="dxa"/>
            <w:vAlign w:val="center"/>
          </w:tcPr>
          <w:p w14:paraId="093952C8">
            <w:pPr>
              <w:spacing w:line="400" w:lineRule="exact"/>
              <w:ind w:left="102" w:right="-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投保人地址：</w:t>
            </w:r>
          </w:p>
        </w:tc>
        <w:tc>
          <w:tcPr>
            <w:tcW w:w="7545" w:type="dxa"/>
            <w:vAlign w:val="center"/>
          </w:tcPr>
          <w:p w14:paraId="592F4372">
            <w:pPr>
              <w:spacing w:line="400" w:lineRule="exact"/>
              <w:ind w:left="102" w:right="167"/>
              <w:jc w:val="left"/>
              <w:rPr>
                <w:rFonts w:hint="eastAsia" w:ascii="宋体" w:hAnsi="宋体" w:eastAsia="宋体" w:cs="宋体"/>
                <w:sz w:val="24"/>
                <w:szCs w:val="24"/>
              </w:rPr>
            </w:pPr>
            <w:r>
              <w:rPr>
                <w:rFonts w:hint="eastAsia" w:ascii="宋体" w:hAnsi="宋体" w:eastAsia="宋体" w:cs="宋体"/>
                <w:sz w:val="24"/>
                <w:szCs w:val="24"/>
              </w:rPr>
              <w:t>广州市荔湾区珠玑路16号</w:t>
            </w:r>
          </w:p>
        </w:tc>
      </w:tr>
      <w:tr w14:paraId="6FD27F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9714" w:type="dxa"/>
            <w:gridSpan w:val="2"/>
            <w:vAlign w:val="center"/>
          </w:tcPr>
          <w:p w14:paraId="4E18E53A">
            <w:pPr>
              <w:spacing w:line="400" w:lineRule="exact"/>
              <w:ind w:left="102" w:right="-20"/>
              <w:jc w:val="left"/>
              <w:rPr>
                <w:rFonts w:hint="eastAsia" w:ascii="宋体" w:hAnsi="宋体" w:eastAsia="宋体" w:cs="宋体"/>
                <w:b/>
                <w:color w:val="auto"/>
                <w:sz w:val="24"/>
                <w:szCs w:val="24"/>
                <w:highlight w:val="none"/>
              </w:rPr>
            </w:pPr>
            <w:r>
              <w:rPr>
                <w:rFonts w:hint="eastAsia" w:ascii="宋体" w:hAnsi="宋体" w:eastAsia="宋体" w:cs="宋体"/>
                <w:b/>
                <w:color w:val="auto"/>
                <w:spacing w:val="2"/>
                <w:sz w:val="24"/>
                <w:szCs w:val="24"/>
                <w:highlight w:val="none"/>
              </w:rPr>
              <w:t>2</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pacing w:val="1"/>
                <w:sz w:val="24"/>
                <w:szCs w:val="24"/>
                <w:highlight w:val="none"/>
              </w:rPr>
              <w:t>被保险人</w:t>
            </w:r>
          </w:p>
        </w:tc>
      </w:tr>
      <w:tr w14:paraId="0B70A7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223" w:hRule="exact"/>
          <w:jc w:val="center"/>
        </w:trPr>
        <w:tc>
          <w:tcPr>
            <w:tcW w:w="2169" w:type="dxa"/>
            <w:vAlign w:val="center"/>
          </w:tcPr>
          <w:p w14:paraId="3F5177D1">
            <w:pPr>
              <w:spacing w:line="400" w:lineRule="exact"/>
              <w:ind w:left="102" w:right="167"/>
              <w:jc w:val="left"/>
              <w:rPr>
                <w:rFonts w:hint="eastAsia" w:ascii="宋体" w:hAnsi="宋体" w:eastAsia="宋体" w:cs="宋体"/>
                <w:b/>
                <w:color w:val="auto"/>
                <w:spacing w:val="1"/>
                <w:position w:val="-1"/>
                <w:sz w:val="24"/>
                <w:szCs w:val="24"/>
                <w:highlight w:val="none"/>
              </w:rPr>
            </w:pPr>
            <w:r>
              <w:rPr>
                <w:rFonts w:hint="eastAsia" w:ascii="宋体" w:hAnsi="宋体" w:eastAsia="宋体" w:cs="宋体"/>
                <w:sz w:val="24"/>
                <w:szCs w:val="24"/>
              </w:rPr>
              <w:t>被保险人名称</w:t>
            </w:r>
          </w:p>
        </w:tc>
        <w:tc>
          <w:tcPr>
            <w:tcW w:w="7545" w:type="dxa"/>
            <w:vAlign w:val="center"/>
          </w:tcPr>
          <w:p w14:paraId="0335EBAA">
            <w:pPr>
              <w:spacing w:line="400" w:lineRule="exact"/>
              <w:ind w:left="102" w:right="16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广州医科大学附属中医医院（广州市中医中药研究所、广州市中医医院、广州中医药大学附属广州中医医院、广州医科大学附属中医医院互联网医院</w:t>
            </w:r>
            <w:r>
              <w:rPr>
                <w:rFonts w:hint="eastAsia" w:ascii="宋体" w:hAnsi="宋体" w:cs="宋体"/>
                <w:color w:val="auto"/>
                <w:sz w:val="24"/>
                <w:szCs w:val="24"/>
                <w:highlight w:val="none"/>
                <w:lang w:eastAsia="zh-CN"/>
              </w:rPr>
              <w:t>、广州市针灸医院</w:t>
            </w:r>
            <w:r>
              <w:rPr>
                <w:rFonts w:hint="eastAsia" w:ascii="宋体" w:hAnsi="宋体" w:eastAsia="宋体" w:cs="宋体"/>
                <w:color w:val="auto"/>
                <w:sz w:val="24"/>
                <w:szCs w:val="24"/>
                <w:highlight w:val="none"/>
              </w:rPr>
              <w:t>）</w:t>
            </w:r>
          </w:p>
        </w:tc>
      </w:tr>
      <w:tr w14:paraId="1EED6B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83" w:hRule="exact"/>
          <w:jc w:val="center"/>
        </w:trPr>
        <w:tc>
          <w:tcPr>
            <w:tcW w:w="2169" w:type="dxa"/>
            <w:vAlign w:val="center"/>
          </w:tcPr>
          <w:p w14:paraId="63DF0666">
            <w:pPr>
              <w:spacing w:line="400" w:lineRule="exact"/>
              <w:ind w:left="102" w:right="167"/>
              <w:jc w:val="left"/>
              <w:rPr>
                <w:rFonts w:hint="eastAsia" w:ascii="宋体" w:hAnsi="宋体" w:eastAsia="宋体" w:cs="宋体"/>
                <w:b/>
                <w:color w:val="auto"/>
                <w:spacing w:val="1"/>
                <w:position w:val="-1"/>
                <w:sz w:val="24"/>
                <w:szCs w:val="24"/>
                <w:highlight w:val="none"/>
                <w:lang w:val="en-US" w:eastAsia="zh-CN"/>
              </w:rPr>
            </w:pPr>
            <w:r>
              <w:rPr>
                <w:rFonts w:hint="eastAsia" w:ascii="宋体" w:hAnsi="宋体" w:eastAsia="宋体" w:cs="宋体"/>
                <w:sz w:val="24"/>
                <w:szCs w:val="24"/>
              </w:rPr>
              <w:t>被保险人</w:t>
            </w:r>
            <w:r>
              <w:rPr>
                <w:rFonts w:hint="eastAsia" w:ascii="宋体" w:hAnsi="宋体" w:eastAsia="宋体" w:cs="宋体"/>
                <w:sz w:val="24"/>
                <w:szCs w:val="24"/>
                <w:lang w:val="en-US" w:eastAsia="zh-CN"/>
              </w:rPr>
              <w:t>地址</w:t>
            </w:r>
          </w:p>
        </w:tc>
        <w:tc>
          <w:tcPr>
            <w:tcW w:w="7545" w:type="dxa"/>
            <w:vAlign w:val="center"/>
          </w:tcPr>
          <w:p w14:paraId="4ED5C53C">
            <w:pPr>
              <w:spacing w:line="400" w:lineRule="exact"/>
              <w:ind w:left="102" w:right="167"/>
              <w:jc w:val="left"/>
              <w:rPr>
                <w:rFonts w:hint="eastAsia" w:ascii="宋体" w:hAnsi="宋体" w:eastAsia="宋体" w:cs="宋体"/>
                <w:color w:val="auto"/>
                <w:sz w:val="24"/>
                <w:szCs w:val="24"/>
                <w:highlight w:val="none"/>
              </w:rPr>
            </w:pPr>
            <w:r>
              <w:rPr>
                <w:rFonts w:hint="eastAsia" w:ascii="宋体" w:hAnsi="宋体" w:eastAsia="宋体" w:cs="宋体"/>
                <w:sz w:val="24"/>
                <w:szCs w:val="24"/>
              </w:rPr>
              <w:t xml:space="preserve"> 广州市荔湾区珠玑路16号</w:t>
            </w:r>
          </w:p>
        </w:tc>
      </w:tr>
      <w:tr w14:paraId="7B5AB8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266" w:hRule="exact"/>
          <w:jc w:val="center"/>
        </w:trPr>
        <w:tc>
          <w:tcPr>
            <w:tcW w:w="2169" w:type="dxa"/>
            <w:vAlign w:val="center"/>
          </w:tcPr>
          <w:p w14:paraId="133D421C">
            <w:pPr>
              <w:spacing w:line="400" w:lineRule="exact"/>
              <w:ind w:left="102" w:right="167"/>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被保险人下属机构名称及地址</w:t>
            </w:r>
          </w:p>
        </w:tc>
        <w:tc>
          <w:tcPr>
            <w:tcW w:w="7545" w:type="dxa"/>
            <w:vAlign w:val="center"/>
          </w:tcPr>
          <w:p w14:paraId="615B3CA0">
            <w:pPr>
              <w:spacing w:line="400" w:lineRule="exact"/>
              <w:ind w:left="102" w:right="167"/>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被保险人：广州医科大学附属中医医院五羊门诊</w:t>
            </w:r>
          </w:p>
          <w:p w14:paraId="4922B40B">
            <w:pPr>
              <w:spacing w:line="400" w:lineRule="exact"/>
              <w:ind w:left="102" w:right="167"/>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地    址：广州市越秀区五羊新城H13座首层</w:t>
            </w:r>
          </w:p>
          <w:p w14:paraId="7AA29B54">
            <w:pPr>
              <w:spacing w:line="400" w:lineRule="exact"/>
              <w:ind w:left="102" w:right="167"/>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被保险人：广州医科大学附属中医医院同德门诊</w:t>
            </w:r>
          </w:p>
          <w:p w14:paraId="1F484713">
            <w:pPr>
              <w:spacing w:line="400" w:lineRule="exact"/>
              <w:ind w:left="102" w:right="167"/>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地    址：广州市白云区西</w:t>
            </w:r>
            <w:r>
              <w:rPr>
                <w:rFonts w:hint="eastAsia" w:ascii="宋体" w:hAnsi="宋体" w:cs="宋体"/>
                <w:sz w:val="24"/>
                <w:szCs w:val="24"/>
                <w:lang w:val="en-US" w:eastAsia="zh-CN"/>
              </w:rPr>
              <w:t>槎</w:t>
            </w:r>
            <w:r>
              <w:rPr>
                <w:rFonts w:hint="eastAsia" w:ascii="宋体" w:hAnsi="宋体" w:eastAsia="宋体" w:cs="宋体"/>
                <w:sz w:val="24"/>
                <w:szCs w:val="24"/>
              </w:rPr>
              <w:t>路横滘二路27号</w:t>
            </w:r>
          </w:p>
          <w:p w14:paraId="70636014">
            <w:pPr>
              <w:spacing w:line="400" w:lineRule="exact"/>
              <w:ind w:left="102" w:right="167"/>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被保险人：广州医科大学附属中医医院同德围分院</w:t>
            </w:r>
          </w:p>
          <w:p w14:paraId="4F5B410E">
            <w:pPr>
              <w:spacing w:line="400" w:lineRule="exact"/>
              <w:ind w:left="102" w:right="167"/>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地    址：广州市白云区西</w:t>
            </w:r>
            <w:r>
              <w:rPr>
                <w:rFonts w:hint="eastAsia" w:ascii="宋体" w:hAnsi="宋体" w:cs="宋体"/>
                <w:sz w:val="24"/>
                <w:szCs w:val="24"/>
                <w:lang w:val="en-US" w:eastAsia="zh-CN"/>
              </w:rPr>
              <w:t>槎</w:t>
            </w:r>
            <w:r>
              <w:rPr>
                <w:rFonts w:hint="eastAsia" w:ascii="宋体" w:hAnsi="宋体" w:eastAsia="宋体" w:cs="宋体"/>
                <w:sz w:val="24"/>
                <w:szCs w:val="24"/>
              </w:rPr>
              <w:t>路横滘二路81号</w:t>
            </w:r>
          </w:p>
          <w:p w14:paraId="310F7995">
            <w:pPr>
              <w:spacing w:line="400" w:lineRule="exact"/>
              <w:ind w:left="102" w:right="167"/>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被保险人：广州医科大学附属中医医院天河院区</w:t>
            </w:r>
          </w:p>
          <w:p w14:paraId="7A39D842">
            <w:pPr>
              <w:spacing w:line="400" w:lineRule="exact"/>
              <w:ind w:left="102" w:right="167"/>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地    址：广州市天河区天坤三路95号</w:t>
            </w:r>
          </w:p>
        </w:tc>
      </w:tr>
      <w:tr w14:paraId="16416B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423" w:hRule="exact"/>
          <w:jc w:val="center"/>
        </w:trPr>
        <w:tc>
          <w:tcPr>
            <w:tcW w:w="2169" w:type="dxa"/>
            <w:vAlign w:val="center"/>
          </w:tcPr>
          <w:p w14:paraId="477E4C40">
            <w:pPr>
              <w:spacing w:line="400" w:lineRule="exact"/>
              <w:ind w:left="102" w:right="167"/>
              <w:jc w:val="left"/>
              <w:rPr>
                <w:rFonts w:hint="eastAsia" w:ascii="宋体" w:hAnsi="宋体" w:eastAsia="宋体" w:cs="宋体"/>
                <w:color w:val="auto"/>
                <w:sz w:val="24"/>
                <w:szCs w:val="24"/>
                <w:highlight w:val="none"/>
              </w:rPr>
            </w:pPr>
            <w:r>
              <w:rPr>
                <w:rFonts w:hint="eastAsia" w:ascii="宋体" w:hAnsi="宋体" w:eastAsia="宋体" w:cs="宋体"/>
                <w:b/>
                <w:color w:val="auto"/>
                <w:spacing w:val="1"/>
                <w:position w:val="-1"/>
                <w:sz w:val="24"/>
                <w:szCs w:val="24"/>
                <w:highlight w:val="none"/>
              </w:rPr>
              <w:t>3</w:t>
            </w:r>
            <w:r>
              <w:rPr>
                <w:rFonts w:hint="eastAsia" w:ascii="宋体" w:hAnsi="宋体" w:eastAsia="宋体" w:cs="宋体"/>
                <w:b/>
                <w:color w:val="auto"/>
                <w:spacing w:val="1"/>
                <w:position w:val="-1"/>
                <w:sz w:val="24"/>
                <w:szCs w:val="24"/>
                <w:highlight w:val="none"/>
                <w:lang w:val="en-US" w:eastAsia="zh-CN"/>
              </w:rPr>
              <w:t>.</w:t>
            </w:r>
            <w:r>
              <w:rPr>
                <w:rFonts w:hint="eastAsia" w:ascii="宋体" w:hAnsi="宋体" w:eastAsia="宋体" w:cs="宋体"/>
                <w:b/>
                <w:color w:val="auto"/>
                <w:spacing w:val="1"/>
                <w:position w:val="-1"/>
                <w:sz w:val="24"/>
                <w:szCs w:val="24"/>
                <w:highlight w:val="none"/>
              </w:rPr>
              <w:t>赔偿限额</w:t>
            </w:r>
          </w:p>
        </w:tc>
        <w:tc>
          <w:tcPr>
            <w:tcW w:w="7545" w:type="dxa"/>
            <w:vAlign w:val="center"/>
          </w:tcPr>
          <w:p w14:paraId="578C9B02">
            <w:pPr>
              <w:spacing w:line="460" w:lineRule="atLeast"/>
              <w:ind w:left="102" w:right="16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auto"/>
                <w:sz w:val="24"/>
                <w:szCs w:val="24"/>
                <w:highlight w:val="none"/>
              </w:rPr>
              <w:t>累计赔偿限额（即全年累计赔偿限额）：</w:t>
            </w:r>
            <w:r>
              <w:rPr>
                <w:rFonts w:hint="eastAsia" w:ascii="宋体" w:hAnsi="宋体" w:eastAsia="宋体" w:cs="宋体"/>
                <w:b/>
                <w:bCs/>
                <w:color w:val="000000" w:themeColor="text1"/>
                <w:sz w:val="24"/>
                <w:szCs w:val="24"/>
                <w:highlight w:val="none"/>
                <w14:textFill>
                  <w14:solidFill>
                    <w14:schemeClr w14:val="tx1"/>
                  </w14:solidFill>
                </w14:textFill>
              </w:rPr>
              <w:t xml:space="preserve">RMB </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320</w:t>
            </w:r>
            <w:r>
              <w:rPr>
                <w:rFonts w:hint="eastAsia" w:ascii="宋体" w:hAnsi="宋体" w:eastAsia="宋体" w:cs="宋体"/>
                <w:b/>
                <w:bCs/>
                <w:color w:val="000000" w:themeColor="text1"/>
                <w:sz w:val="24"/>
                <w:szCs w:val="24"/>
                <w:highlight w:val="none"/>
                <w14:textFill>
                  <w14:solidFill>
                    <w14:schemeClr w14:val="tx1"/>
                  </w14:solidFill>
                </w14:textFill>
              </w:rPr>
              <w:t>万元</w:t>
            </w:r>
            <w:r>
              <w:rPr>
                <w:rFonts w:hint="eastAsia" w:ascii="宋体" w:hAnsi="宋体" w:eastAsia="宋体" w:cs="宋体"/>
                <w:color w:val="000000" w:themeColor="text1"/>
                <w:sz w:val="24"/>
                <w:szCs w:val="24"/>
                <w:highlight w:val="none"/>
                <w14:textFill>
                  <w14:solidFill>
                    <w14:schemeClr w14:val="tx1"/>
                  </w14:solidFill>
                </w14:textFill>
              </w:rPr>
              <w:t>；</w:t>
            </w:r>
          </w:p>
          <w:p w14:paraId="688342D9">
            <w:pPr>
              <w:spacing w:line="460" w:lineRule="atLeast"/>
              <w:ind w:left="102" w:right="16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每次事故赔偿限额（即每次保险事故赔偿限额）：</w:t>
            </w:r>
            <w:r>
              <w:rPr>
                <w:rFonts w:hint="eastAsia" w:ascii="宋体" w:hAnsi="宋体" w:eastAsia="宋体" w:cs="宋体"/>
                <w:b/>
                <w:bCs/>
                <w:color w:val="000000" w:themeColor="text1"/>
                <w:sz w:val="24"/>
                <w:szCs w:val="24"/>
                <w:highlight w:val="none"/>
                <w14:textFill>
                  <w14:solidFill>
                    <w14:schemeClr w14:val="tx1"/>
                  </w14:solidFill>
                </w14:textFill>
              </w:rPr>
              <w:t xml:space="preserve">RMB </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80</w:t>
            </w:r>
            <w:r>
              <w:rPr>
                <w:rFonts w:hint="eastAsia" w:ascii="宋体" w:hAnsi="宋体" w:eastAsia="宋体" w:cs="宋体"/>
                <w:b/>
                <w:bCs/>
                <w:color w:val="000000" w:themeColor="text1"/>
                <w:sz w:val="24"/>
                <w:szCs w:val="24"/>
                <w:highlight w:val="none"/>
                <w14:textFill>
                  <w14:solidFill>
                    <w14:schemeClr w14:val="tx1"/>
                  </w14:solidFill>
                </w14:textFill>
              </w:rPr>
              <w:t>万元</w:t>
            </w:r>
            <w:r>
              <w:rPr>
                <w:rFonts w:hint="eastAsia" w:ascii="宋体" w:hAnsi="宋体" w:eastAsia="宋体" w:cs="宋体"/>
                <w:color w:val="000000" w:themeColor="text1"/>
                <w:sz w:val="24"/>
                <w:szCs w:val="24"/>
                <w:highlight w:val="none"/>
                <w14:textFill>
                  <w14:solidFill>
                    <w14:schemeClr w14:val="tx1"/>
                  </w14:solidFill>
                </w14:textFill>
              </w:rPr>
              <w:t>；</w:t>
            </w:r>
          </w:p>
          <w:p w14:paraId="44B686C4">
            <w:pPr>
              <w:spacing w:line="460" w:lineRule="atLeast"/>
              <w:ind w:left="102" w:right="167"/>
              <w:rPr>
                <w:rFonts w:hint="eastAsia" w:ascii="宋体" w:hAnsi="宋体" w:eastAsia="宋体" w:cs="宋体"/>
                <w:b/>
                <w:bCs/>
                <w:color w:val="auto"/>
                <w:sz w:val="24"/>
                <w:szCs w:val="24"/>
                <w:highlight w:val="none"/>
              </w:rPr>
            </w:pPr>
            <w:r>
              <w:rPr>
                <w:rFonts w:hint="eastAsia" w:ascii="宋体" w:hAnsi="宋体" w:eastAsia="宋体" w:cs="宋体"/>
                <w:color w:val="000000" w:themeColor="text1"/>
                <w:sz w:val="24"/>
                <w:szCs w:val="24"/>
                <w:highlight w:val="none"/>
                <w14:textFill>
                  <w14:solidFill>
                    <w14:schemeClr w14:val="tx1"/>
                  </w14:solidFill>
                </w14:textFill>
              </w:rPr>
              <w:t xml:space="preserve">法律费用每次及累计赔偿限额: </w:t>
            </w:r>
            <w:r>
              <w:rPr>
                <w:rFonts w:hint="eastAsia" w:ascii="宋体" w:hAnsi="宋体" w:eastAsia="宋体" w:cs="宋体"/>
                <w:b/>
                <w:bCs/>
                <w:color w:val="000000" w:themeColor="text1"/>
                <w:sz w:val="24"/>
                <w:szCs w:val="24"/>
                <w:highlight w:val="none"/>
                <w14:textFill>
                  <w14:solidFill>
                    <w14:schemeClr w14:val="tx1"/>
                  </w14:solidFill>
                </w14:textFill>
              </w:rPr>
              <w:t xml:space="preserve">RMB </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32</w:t>
            </w:r>
            <w:r>
              <w:rPr>
                <w:rFonts w:hint="eastAsia" w:ascii="宋体" w:hAnsi="宋体" w:eastAsia="宋体" w:cs="宋体"/>
                <w:b/>
                <w:bCs/>
                <w:color w:val="000000" w:themeColor="text1"/>
                <w:sz w:val="24"/>
                <w:szCs w:val="24"/>
                <w:highlight w:val="none"/>
                <w14:textFill>
                  <w14:solidFill>
                    <w14:schemeClr w14:val="tx1"/>
                  </w14:solidFill>
                </w14:textFill>
              </w:rPr>
              <w:t>万元</w:t>
            </w:r>
            <w:r>
              <w:rPr>
                <w:rFonts w:hint="eastAsia" w:ascii="宋体" w:hAnsi="宋体" w:eastAsia="宋体" w:cs="宋体"/>
                <w:b/>
                <w:bCs/>
                <w:color w:val="auto"/>
                <w:sz w:val="24"/>
                <w:szCs w:val="24"/>
                <w:highlight w:val="none"/>
              </w:rPr>
              <w:t>。</w:t>
            </w:r>
          </w:p>
          <w:p w14:paraId="40469BBD">
            <w:pPr>
              <w:spacing w:line="400" w:lineRule="exact"/>
              <w:ind w:left="102" w:right="167"/>
              <w:jc w:val="left"/>
              <w:rPr>
                <w:rFonts w:hint="eastAsia" w:ascii="宋体" w:hAnsi="宋体" w:eastAsia="宋体" w:cs="宋体"/>
                <w:color w:val="auto"/>
                <w:sz w:val="24"/>
                <w:szCs w:val="24"/>
                <w:highlight w:val="none"/>
              </w:rPr>
            </w:pPr>
          </w:p>
        </w:tc>
      </w:tr>
      <w:tr w14:paraId="6C7D76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69" w:type="dxa"/>
            <w:vAlign w:val="center"/>
          </w:tcPr>
          <w:p w14:paraId="196C2EEA">
            <w:pPr>
              <w:spacing w:line="400" w:lineRule="exact"/>
              <w:ind w:left="40" w:leftChars="20" w:right="-72" w:rightChars="-3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免赔额：</w:t>
            </w:r>
          </w:p>
        </w:tc>
        <w:tc>
          <w:tcPr>
            <w:tcW w:w="7545" w:type="dxa"/>
            <w:vAlign w:val="center"/>
          </w:tcPr>
          <w:p w14:paraId="7C61B052">
            <w:pPr>
              <w:spacing w:line="400" w:lineRule="exact"/>
              <w:ind w:left="40" w:leftChars="20" w:right="138" w:rightChars="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tc>
      </w:tr>
      <w:tr w14:paraId="525D32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exact"/>
          <w:jc w:val="center"/>
        </w:trPr>
        <w:tc>
          <w:tcPr>
            <w:tcW w:w="2169" w:type="dxa"/>
            <w:vAlign w:val="center"/>
          </w:tcPr>
          <w:p w14:paraId="266C5DDF">
            <w:pPr>
              <w:spacing w:line="400" w:lineRule="exact"/>
              <w:ind w:left="40" w:leftChars="20" w:right="-72" w:rightChars="-3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适用条款：</w:t>
            </w:r>
          </w:p>
        </w:tc>
        <w:tc>
          <w:tcPr>
            <w:tcW w:w="7545" w:type="dxa"/>
            <w:vAlign w:val="center"/>
          </w:tcPr>
          <w:p w14:paraId="2151A37A">
            <w:pPr>
              <w:spacing w:line="400" w:lineRule="exact"/>
              <w:ind w:right="138" w:rightChars="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广东</w:t>
            </w:r>
            <w:r>
              <w:rPr>
                <w:rFonts w:hint="eastAsia" w:ascii="宋体" w:hAnsi="宋体" w:eastAsia="宋体" w:cs="宋体"/>
                <w:color w:val="auto"/>
                <w:sz w:val="24"/>
                <w:szCs w:val="24"/>
                <w:highlight w:val="none"/>
              </w:rPr>
              <w:t>医疗机构医疗责任保险</w:t>
            </w:r>
            <w:r>
              <w:rPr>
                <w:rFonts w:hint="eastAsia" w:ascii="宋体" w:hAnsi="宋体" w:eastAsia="宋体" w:cs="宋体"/>
                <w:color w:val="auto"/>
                <w:sz w:val="24"/>
                <w:szCs w:val="24"/>
                <w:highlight w:val="none"/>
                <w:lang w:val="en-US" w:eastAsia="zh-CN"/>
              </w:rPr>
              <w:t>示范</w:t>
            </w:r>
            <w:r>
              <w:rPr>
                <w:rFonts w:hint="eastAsia" w:ascii="宋体" w:hAnsi="宋体" w:eastAsia="宋体" w:cs="宋体"/>
                <w:color w:val="auto"/>
                <w:sz w:val="24"/>
                <w:szCs w:val="24"/>
                <w:highlight w:val="none"/>
              </w:rPr>
              <w:t>条款</w:t>
            </w:r>
          </w:p>
        </w:tc>
      </w:tr>
      <w:tr w14:paraId="6C4EC2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3" w:hRule="atLeast"/>
          <w:jc w:val="center"/>
        </w:trPr>
        <w:tc>
          <w:tcPr>
            <w:tcW w:w="2169" w:type="dxa"/>
            <w:vAlign w:val="center"/>
          </w:tcPr>
          <w:p w14:paraId="7200E74B">
            <w:pPr>
              <w:tabs>
                <w:tab w:val="left" w:pos="1620"/>
              </w:tabs>
              <w:spacing w:line="400" w:lineRule="exact"/>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特别约定：</w:t>
            </w:r>
          </w:p>
        </w:tc>
        <w:tc>
          <w:tcPr>
            <w:tcW w:w="7545" w:type="dxa"/>
            <w:vAlign w:val="center"/>
          </w:tcPr>
          <w:p w14:paraId="168221CA">
            <w:pPr>
              <w:spacing w:line="44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highlight w:val="none"/>
                <w:lang w:val="en-US" w:eastAsia="zh-CN"/>
              </w:rPr>
              <w:t>6.1</w:t>
            </w:r>
            <w:r>
              <w:rPr>
                <w:rFonts w:hint="eastAsia" w:ascii="宋体" w:hAnsi="宋体" w:eastAsia="宋体" w:cs="宋体"/>
                <w:sz w:val="24"/>
                <w:szCs w:val="24"/>
                <w:highlight w:val="none"/>
              </w:rPr>
              <w:t>为高效化解医疗纠纷案件，充分保障医疗机构的正常诊疗秩序，并体现构建和谐社会之精神，对于赔偿金额（不含法律费用）在人民币1万元以下（含1万元）的医疗纠纷案件，以及对于被保险人或者其医务人员在从事与其资格相符的诊疗活动中存在过错但没有造成患者人身损害的情况，赔偿金额（不含法律费用）在人民币1万元以下（含1万元）的医疗纠纷案件，被保险人完全有权自主处理与患方达成赔偿协议，被保险人与患方达成赔偿协议后，保险人应根据此赔偿协议进行保险赔付。</w:t>
            </w:r>
            <w:r>
              <w:rPr>
                <w:rFonts w:hint="eastAsia" w:ascii="宋体" w:hAnsi="宋体" w:eastAsia="宋体" w:cs="宋体"/>
                <w:sz w:val="24"/>
                <w:szCs w:val="24"/>
              </w:rPr>
              <w:t>每个保险年度被保险人通过自主处理此类案</w:t>
            </w:r>
            <w:r>
              <w:rPr>
                <w:rFonts w:hint="eastAsia" w:ascii="宋体" w:hAnsi="宋体" w:eastAsia="宋体" w:cs="宋体"/>
                <w:sz w:val="24"/>
                <w:szCs w:val="24"/>
                <w:highlight w:val="none"/>
              </w:rPr>
              <w:t>件的赔偿金额</w:t>
            </w:r>
            <w:r>
              <w:rPr>
                <w:rFonts w:hint="eastAsia" w:ascii="宋体" w:hAnsi="宋体" w:eastAsia="宋体" w:cs="宋体"/>
                <w:sz w:val="24"/>
                <w:szCs w:val="24"/>
                <w:highlight w:val="none"/>
                <w:lang w:eastAsia="zh-CN"/>
              </w:rPr>
              <w:t>（不含法律费用）</w:t>
            </w:r>
            <w:r>
              <w:rPr>
                <w:rFonts w:hint="eastAsia" w:ascii="宋体" w:hAnsi="宋体" w:eastAsia="宋体" w:cs="宋体"/>
                <w:sz w:val="24"/>
                <w:szCs w:val="24"/>
                <w:highlight w:val="none"/>
              </w:rPr>
              <w:t>累计不超过</w:t>
            </w:r>
            <w:r>
              <w:rPr>
                <w:rFonts w:hint="eastAsia" w:ascii="宋体" w:hAnsi="宋体" w:eastAsia="宋体" w:cs="宋体"/>
                <w:sz w:val="24"/>
                <w:szCs w:val="24"/>
                <w:highlight w:val="none"/>
                <w:lang w:eastAsia="zh-CN"/>
              </w:rPr>
              <w:t>应缴</w:t>
            </w:r>
            <w:r>
              <w:rPr>
                <w:rFonts w:hint="eastAsia" w:ascii="宋体" w:hAnsi="宋体" w:eastAsia="宋体" w:cs="宋体"/>
                <w:sz w:val="24"/>
                <w:szCs w:val="24"/>
                <w:highlight w:val="none"/>
              </w:rPr>
              <w:t>保费的10%，自主处理次数不限。</w:t>
            </w:r>
          </w:p>
          <w:p w14:paraId="51E5A6E9">
            <w:pPr>
              <w:spacing w:line="440" w:lineRule="exact"/>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在保险期限内发生的保险事故结案后，患方如因同一事故再次提起赔偿请求（包含但不限于请求赔偿后续治疗费、后续护理费等），经法院判决或者仲裁裁决确定应由被保险人继续承担的医疗损害赔偿费用以及因患方再次提起赔偿请求而产生的应由被保险人承担的法律费用，保险公司亦应负责赔偿。 </w:t>
            </w:r>
          </w:p>
          <w:p w14:paraId="7B3F928B">
            <w:pPr>
              <w:spacing w:line="440" w:lineRule="exact"/>
              <w:ind w:firstLine="480" w:firstLineChars="200"/>
              <w:jc w:val="both"/>
              <w:rPr>
                <w:rFonts w:hint="eastAsia" w:ascii="宋体" w:hAnsi="宋体" w:eastAsia="宋体" w:cs="宋体"/>
                <w:sz w:val="24"/>
                <w:szCs w:val="24"/>
              </w:rPr>
            </w:pPr>
            <w:r>
              <w:rPr>
                <w:rFonts w:hint="eastAsia" w:ascii="宋体" w:hAnsi="宋体" w:eastAsia="宋体" w:cs="宋体"/>
                <w:color w:val="auto"/>
                <w:sz w:val="24"/>
                <w:szCs w:val="24"/>
                <w:lang w:val="en-US" w:eastAsia="zh-CN"/>
              </w:rPr>
              <w:t>6.3</w:t>
            </w:r>
            <w:r>
              <w:rPr>
                <w:rFonts w:hint="eastAsia" w:ascii="宋体" w:hAnsi="宋体" w:eastAsia="宋体" w:cs="宋体"/>
                <w:sz w:val="24"/>
                <w:szCs w:val="24"/>
              </w:rPr>
              <w:t>经</w:t>
            </w:r>
            <w:r>
              <w:rPr>
                <w:rFonts w:hint="eastAsia" w:ascii="宋体" w:hAnsi="宋体" w:eastAsia="宋体" w:cs="宋体"/>
                <w:sz w:val="24"/>
                <w:szCs w:val="24"/>
                <w:lang w:eastAsia="zh-CN"/>
              </w:rPr>
              <w:t>投保人与保险人协商</w:t>
            </w:r>
            <w:r>
              <w:rPr>
                <w:rFonts w:hint="eastAsia" w:ascii="宋体" w:hAnsi="宋体" w:eastAsia="宋体" w:cs="宋体"/>
                <w:sz w:val="24"/>
                <w:szCs w:val="24"/>
              </w:rPr>
              <w:t>一致</w:t>
            </w:r>
            <w:r>
              <w:rPr>
                <w:rFonts w:hint="eastAsia" w:ascii="宋体" w:hAnsi="宋体" w:eastAsia="宋体" w:cs="宋体"/>
                <w:color w:val="auto"/>
                <w:sz w:val="24"/>
                <w:szCs w:val="24"/>
              </w:rPr>
              <w:t>，在保险单中列明的保险期间或追溯期内，在被保险人处进行实习的医学生和试用期医学毕业生，经临床带教教师或者指导医师同意并按照临床带教教师或者指导医师的要求在从事诊疗活动过程中造成患者人身损害的，患者或者其近亲属或者其代理人在保险期间内首次向被保险人提出损害赔偿请求，依照中华人民共和国法律应由被保险人承担经济赔偿责任的，保险人按照本保险合同约定负责赔偿。</w:t>
            </w:r>
          </w:p>
          <w:p w14:paraId="66AE3501">
            <w:pPr>
              <w:spacing w:line="44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lang w:val="en-US" w:eastAsia="zh-CN"/>
              </w:rPr>
              <w:t xml:space="preserve">6.4 </w:t>
            </w:r>
            <w:r>
              <w:rPr>
                <w:rFonts w:hint="eastAsia" w:ascii="宋体" w:hAnsi="宋体" w:eastAsia="宋体" w:cs="宋体"/>
                <w:sz w:val="24"/>
                <w:szCs w:val="24"/>
              </w:rPr>
              <w:t>经</w:t>
            </w:r>
            <w:r>
              <w:rPr>
                <w:rFonts w:hint="eastAsia" w:ascii="宋体" w:hAnsi="宋体" w:eastAsia="宋体" w:cs="宋体"/>
                <w:sz w:val="24"/>
                <w:szCs w:val="24"/>
                <w:lang w:eastAsia="zh-CN"/>
              </w:rPr>
              <w:t>投保人与保险人协商</w:t>
            </w:r>
            <w:r>
              <w:rPr>
                <w:rFonts w:hint="eastAsia" w:ascii="宋体" w:hAnsi="宋体" w:eastAsia="宋体" w:cs="宋体"/>
                <w:sz w:val="24"/>
                <w:szCs w:val="24"/>
              </w:rPr>
              <w:t>一致，在保险单中列明的保险期间或者追溯期内，在被保险人处进修的医务人员，经指导医师同意并按照指导医师的要求从事诊疗活动过程中造成患者人身损害的，患者或者其近亲属或者其代理人在保险期间内首次向被保险人提出损害赔偿请求，依照中华人民共和国法律应由被保险人承担的经济赔偿责任，保险人按照本保险合同约定负责赔偿</w:t>
            </w:r>
            <w:r>
              <w:rPr>
                <w:rFonts w:hint="eastAsia" w:ascii="宋体" w:hAnsi="宋体" w:eastAsia="宋体" w:cs="宋体"/>
                <w:sz w:val="24"/>
                <w:szCs w:val="24"/>
                <w:lang w:eastAsia="zh-CN"/>
              </w:rPr>
              <w:t>。</w:t>
            </w:r>
          </w:p>
          <w:p w14:paraId="6CAF4499">
            <w:pPr>
              <w:spacing w:line="440" w:lineRule="exact"/>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6.5 </w:t>
            </w:r>
            <w:r>
              <w:rPr>
                <w:rFonts w:hint="eastAsia" w:ascii="宋体" w:hAnsi="宋体" w:eastAsia="宋体" w:cs="宋体"/>
                <w:sz w:val="24"/>
                <w:szCs w:val="24"/>
              </w:rPr>
              <w:t>经</w:t>
            </w:r>
            <w:r>
              <w:rPr>
                <w:rFonts w:hint="eastAsia" w:ascii="宋体" w:hAnsi="宋体" w:eastAsia="宋体" w:cs="宋体"/>
                <w:sz w:val="24"/>
                <w:szCs w:val="24"/>
                <w:lang w:eastAsia="zh-CN"/>
              </w:rPr>
              <w:t>投保人与保险人协商</w:t>
            </w:r>
            <w:r>
              <w:rPr>
                <w:rFonts w:hint="eastAsia" w:ascii="宋体" w:hAnsi="宋体" w:eastAsia="宋体" w:cs="宋体"/>
                <w:sz w:val="24"/>
                <w:szCs w:val="24"/>
              </w:rPr>
              <w:t>一致，保险人同意将被保险人根据外聘合同聘用以及根据卫生行政部门制定的帮扶政策聘用的外聘医务人员、或正常会诊的非本医疗机构的医务人员视为被保险人的医务人员。</w:t>
            </w:r>
          </w:p>
          <w:p w14:paraId="23404912">
            <w:pPr>
              <w:pStyle w:val="2"/>
              <w:jc w:val="both"/>
              <w:rPr>
                <w:rFonts w:hint="eastAsia" w:ascii="宋体" w:hAnsi="宋体" w:eastAsia="宋体" w:cs="宋体"/>
                <w:sz w:val="24"/>
                <w:szCs w:val="24"/>
                <w:lang w:val="en-US" w:eastAsia="zh-CN"/>
              </w:rPr>
            </w:pPr>
            <w:r>
              <w:rPr>
                <w:rFonts w:hint="eastAsia" w:eastAsia="宋体" w:cs="宋体"/>
                <w:sz w:val="24"/>
                <w:szCs w:val="24"/>
                <w:lang w:val="en-US" w:eastAsia="zh-CN"/>
              </w:rPr>
              <w:t>6</w:t>
            </w:r>
            <w:r>
              <w:rPr>
                <w:rFonts w:hint="eastAsia" w:ascii="宋体" w:hAnsi="宋体" w:eastAsia="宋体" w:cs="宋体"/>
                <w:sz w:val="24"/>
                <w:szCs w:val="24"/>
                <w:lang w:val="en-US" w:eastAsia="zh-CN"/>
              </w:rPr>
              <w:t>.</w:t>
            </w:r>
            <w:r>
              <w:rPr>
                <w:rFonts w:hint="eastAsia" w:eastAsia="宋体" w:cs="宋体"/>
                <w:sz w:val="24"/>
                <w:szCs w:val="24"/>
                <w:lang w:val="en-US" w:eastAsia="zh-CN"/>
              </w:rPr>
              <w:t>6</w:t>
            </w:r>
            <w:r>
              <w:rPr>
                <w:rFonts w:hint="eastAsia" w:ascii="宋体" w:hAnsi="宋体" w:eastAsia="宋体" w:cs="宋体"/>
                <w:sz w:val="24"/>
                <w:szCs w:val="24"/>
                <w:lang w:val="en-US" w:eastAsia="zh-CN"/>
              </w:rPr>
              <w:t xml:space="preserve"> 在保险单中列明的保险期间或者追溯期内，按照被保险人轮岗管理制度要求的医务人员，在轮岗期间从事诊疗活动过程中造成患者人身损害的，患者或者其近亲属或者其代理人在保险期间内首次向被保险人提出损害赔偿请求，依照中华人民共和国法律应由被保险人承担的经济赔偿责任，保险人按照本保险合同约定负责赔偿。</w:t>
            </w:r>
          </w:p>
          <w:p w14:paraId="2B469EDF">
            <w:pPr>
              <w:pStyle w:val="3"/>
              <w:keepNext w:val="0"/>
              <w:keepLines w:val="0"/>
              <w:pageBreakBefore w:val="0"/>
              <w:widowControl w:val="0"/>
              <w:kinsoku/>
              <w:wordWrap/>
              <w:overflowPunct/>
              <w:topLinePunct w:val="0"/>
              <w:autoSpaceDE/>
              <w:autoSpaceDN/>
              <w:bidi w:val="0"/>
              <w:adjustRightInd w:val="0"/>
              <w:snapToGrid w:val="0"/>
              <w:spacing w:after="0" w:line="480" w:lineRule="exact"/>
              <w:ind w:left="0" w:lef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6.7 被保险人聘用的医务人员，在注册或变更注册期间</w:t>
            </w:r>
            <w:r>
              <w:rPr>
                <w:rFonts w:hint="eastAsia" w:ascii="宋体" w:hAnsi="宋体" w:eastAsia="宋体" w:cs="宋体"/>
                <w:sz w:val="24"/>
                <w:szCs w:val="24"/>
                <w:highlight w:val="none"/>
                <w:lang w:val="en-US" w:eastAsia="zh-CN"/>
              </w:rPr>
              <w:t>或根据卫生行政部门规定及要求到指定区域范围内从事诊疗活动</w:t>
            </w:r>
            <w:r>
              <w:rPr>
                <w:rFonts w:hint="eastAsia" w:ascii="宋体" w:hAnsi="宋体" w:eastAsia="宋体" w:cs="宋体"/>
                <w:sz w:val="24"/>
                <w:szCs w:val="24"/>
                <w:lang w:val="en-US" w:eastAsia="zh-CN"/>
              </w:rPr>
              <w:t>发生的保险事故，属于保险责任范围。</w:t>
            </w:r>
          </w:p>
          <w:p w14:paraId="53C2351C">
            <w:pPr>
              <w:pStyle w:val="3"/>
              <w:keepNext w:val="0"/>
              <w:keepLines w:val="0"/>
              <w:pageBreakBefore w:val="0"/>
              <w:widowControl w:val="0"/>
              <w:kinsoku/>
              <w:wordWrap/>
              <w:overflowPunct/>
              <w:topLinePunct w:val="0"/>
              <w:autoSpaceDE/>
              <w:autoSpaceDN/>
              <w:bidi w:val="0"/>
              <w:adjustRightInd w:val="0"/>
              <w:snapToGrid w:val="0"/>
              <w:spacing w:after="0" w:line="480" w:lineRule="exact"/>
              <w:ind w:left="0" w:lef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6.8 被保险人因医疗纠纷处理（包含自行和解和人民调解）过程中，为了查明医疗纠纷原因和损失产生的鉴定费以及其他必要的、合理的费用，保险人按本保险合同约定的法律费用限额内负责赔偿。医疗纠纷是指医患双方因诊疗活动引发的争议。</w:t>
            </w:r>
          </w:p>
          <w:p w14:paraId="63481B05">
            <w:pPr>
              <w:pStyle w:val="2"/>
              <w:jc w:val="both"/>
              <w:rPr>
                <w:rFonts w:hint="eastAsia" w:ascii="宋体" w:hAnsi="宋体" w:eastAsia="宋体" w:cs="宋体"/>
                <w:color w:val="auto"/>
                <w:sz w:val="24"/>
                <w:szCs w:val="24"/>
                <w:highlight w:val="none"/>
              </w:rPr>
            </w:pPr>
            <w:r>
              <w:rPr>
                <w:rFonts w:hint="eastAsia" w:eastAsia="宋体" w:cs="宋体"/>
                <w:sz w:val="24"/>
                <w:szCs w:val="24"/>
                <w:lang w:val="en-US" w:eastAsia="zh-CN"/>
              </w:rPr>
              <w:t>6</w:t>
            </w:r>
            <w:r>
              <w:rPr>
                <w:rFonts w:hint="eastAsia" w:ascii="宋体" w:hAnsi="宋体" w:eastAsia="宋体" w:cs="宋体"/>
                <w:sz w:val="24"/>
                <w:szCs w:val="24"/>
                <w:lang w:val="en-US" w:eastAsia="zh-CN"/>
              </w:rPr>
              <w:t>.</w:t>
            </w:r>
            <w:r>
              <w:rPr>
                <w:rFonts w:hint="eastAsia" w:eastAsia="宋体" w:cs="宋体"/>
                <w:sz w:val="24"/>
                <w:szCs w:val="24"/>
                <w:lang w:val="en-US" w:eastAsia="zh-CN"/>
              </w:rPr>
              <w:t>9</w:t>
            </w:r>
            <w:r>
              <w:rPr>
                <w:rFonts w:hint="eastAsia" w:ascii="宋体" w:hAnsi="宋体" w:eastAsia="宋体" w:cs="宋体"/>
                <w:sz w:val="24"/>
                <w:szCs w:val="24"/>
                <w:lang w:val="en-US" w:eastAsia="zh-CN"/>
              </w:rPr>
              <w:t xml:space="preserve"> 本保险合同所称的“诊疗活动”，也包括在本保险合同中列明的保险期间或者追溯期内，被保险人或者其医务人员在被保险人自营平台从事与其资格相符的互联网诊疗活动中造成患者人身损害，患者或者其近亲属或者其代理人在保险期间内首次向被保险人提出损害赔偿请求，依照中华人民共和国法律（不包括港、澳、台地区法律）应由被保险人承担经济赔偿责任，保险人按照本保险合同约定负责赔偿。</w:t>
            </w:r>
          </w:p>
        </w:tc>
      </w:tr>
      <w:tr w14:paraId="25B7AE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exact"/>
          <w:jc w:val="center"/>
        </w:trPr>
        <w:tc>
          <w:tcPr>
            <w:tcW w:w="2169" w:type="dxa"/>
            <w:vAlign w:val="center"/>
          </w:tcPr>
          <w:p w14:paraId="1DE9248F">
            <w:pPr>
              <w:spacing w:line="400" w:lineRule="exact"/>
              <w:ind w:left="40" w:leftChars="20" w:right="-72" w:rightChars="-36"/>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7.</w:t>
            </w:r>
            <w:r>
              <w:rPr>
                <w:rFonts w:hint="eastAsia" w:ascii="宋体" w:hAnsi="宋体" w:eastAsia="宋体" w:cs="宋体"/>
                <w:b/>
                <w:bCs w:val="0"/>
                <w:color w:val="000000" w:themeColor="text1"/>
                <w:sz w:val="24"/>
                <w:szCs w:val="24"/>
                <w:highlight w:val="none"/>
                <w14:textFill>
                  <w14:solidFill>
                    <w14:schemeClr w14:val="tx1"/>
                  </w14:solidFill>
                </w14:textFill>
              </w:rPr>
              <w:t>保险期限：</w:t>
            </w:r>
          </w:p>
        </w:tc>
        <w:tc>
          <w:tcPr>
            <w:tcW w:w="7545" w:type="dxa"/>
            <w:vAlign w:val="center"/>
          </w:tcPr>
          <w:p w14:paraId="5BA8A456">
            <w:pPr>
              <w:spacing w:line="400" w:lineRule="exact"/>
              <w:ind w:left="40" w:leftChars="20" w:right="138" w:rightChars="69"/>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一年</w:t>
            </w:r>
            <w:r>
              <w:rPr>
                <w:rFonts w:hint="eastAsia" w:ascii="宋体" w:hAnsi="宋体" w:eastAsia="宋体" w:cs="宋体"/>
                <w:b w:val="0"/>
                <w:bCs/>
                <w:color w:val="000000" w:themeColor="text1"/>
                <w:sz w:val="24"/>
                <w:szCs w:val="24"/>
                <w:highlight w:val="none"/>
                <w14:textFill>
                  <w14:solidFill>
                    <w14:schemeClr w14:val="tx1"/>
                  </w14:solidFill>
                </w14:textFill>
              </w:rPr>
              <w:t>，自 202</w:t>
            </w:r>
            <w:r>
              <w:rPr>
                <w:rFonts w:hint="eastAsia" w:ascii="宋体" w:hAnsi="宋体" w:cs="宋体"/>
                <w:b w:val="0"/>
                <w:bCs/>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val="0"/>
                <w:bCs/>
                <w:color w:val="000000" w:themeColor="text1"/>
                <w:sz w:val="24"/>
                <w:szCs w:val="24"/>
                <w:highlight w:val="none"/>
                <w14:textFill>
                  <w14:solidFill>
                    <w14:schemeClr w14:val="tx1"/>
                  </w14:solidFill>
                </w14:textFill>
              </w:rPr>
              <w:t>年12月26日零时起至202</w:t>
            </w:r>
            <w:r>
              <w:rPr>
                <w:rFonts w:hint="eastAsia" w:ascii="宋体" w:hAnsi="宋体" w:cs="宋体"/>
                <w:b w:val="0"/>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val="0"/>
                <w:bCs/>
                <w:color w:val="000000" w:themeColor="text1"/>
                <w:sz w:val="24"/>
                <w:szCs w:val="24"/>
                <w:highlight w:val="none"/>
                <w14:textFill>
                  <w14:solidFill>
                    <w14:schemeClr w14:val="tx1"/>
                  </w14:solidFill>
                </w14:textFill>
              </w:rPr>
              <w:t>年12月25日二十四时止</w:t>
            </w:r>
          </w:p>
        </w:tc>
      </w:tr>
      <w:tr w14:paraId="0087A7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3" w:hRule="exact"/>
          <w:jc w:val="center"/>
        </w:trPr>
        <w:tc>
          <w:tcPr>
            <w:tcW w:w="2169" w:type="dxa"/>
            <w:vAlign w:val="center"/>
          </w:tcPr>
          <w:p w14:paraId="60BFB5DE">
            <w:pPr>
              <w:spacing w:line="400" w:lineRule="exact"/>
              <w:ind w:left="40" w:leftChars="20" w:right="-72" w:rightChars="-36"/>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
                <w:bCs w:val="0"/>
                <w:color w:val="000000" w:themeColor="text1"/>
                <w:sz w:val="24"/>
                <w:szCs w:val="24"/>
                <w:highlight w:val="none"/>
                <w14:textFill>
                  <w14:solidFill>
                    <w14:schemeClr w14:val="tx1"/>
                  </w14:solidFill>
                </w14:textFill>
              </w:rPr>
              <w:t>追溯期：</w:t>
            </w:r>
          </w:p>
        </w:tc>
        <w:tc>
          <w:tcPr>
            <w:tcW w:w="7545" w:type="dxa"/>
            <w:vAlign w:val="center"/>
          </w:tcPr>
          <w:p w14:paraId="7C2D23AB">
            <w:pPr>
              <w:spacing w:line="400" w:lineRule="exact"/>
              <w:ind w:left="40" w:leftChars="20" w:right="138" w:rightChars="69"/>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三年，自 202</w:t>
            </w:r>
            <w:r>
              <w:rPr>
                <w:rFonts w:hint="eastAsia" w:ascii="宋体" w:hAnsi="宋体" w:cs="宋体"/>
                <w:b w:val="0"/>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年12月26日零时起至202</w:t>
            </w:r>
            <w:r>
              <w:rPr>
                <w:rFonts w:hint="eastAsia" w:ascii="宋体" w:hAnsi="宋体" w:cs="宋体"/>
                <w:b w:val="0"/>
                <w:bCs/>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年12月25日二十四时止</w:t>
            </w:r>
          </w:p>
          <w:p w14:paraId="79E6FDE8">
            <w:pPr>
              <w:spacing w:line="400" w:lineRule="exact"/>
              <w:ind w:left="40" w:leftChars="20" w:right="138" w:rightChars="6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连续投保追溯期设定：连续投保，本保险追溯期从首次投保合同生效之日起算，最长不超过三年。</w:t>
            </w:r>
          </w:p>
        </w:tc>
      </w:tr>
      <w:tr w14:paraId="1CA449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9" w:hRule="exact"/>
          <w:jc w:val="center"/>
        </w:trPr>
        <w:tc>
          <w:tcPr>
            <w:tcW w:w="2169" w:type="dxa"/>
            <w:vAlign w:val="center"/>
          </w:tcPr>
          <w:p w14:paraId="4DC16D4D">
            <w:pPr>
              <w:spacing w:line="400" w:lineRule="exact"/>
              <w:ind w:left="40" w:leftChars="20" w:right="-72" w:rightChars="-36"/>
              <w:rPr>
                <w:rFonts w:hint="eastAsia" w:ascii="宋体" w:hAnsi="宋体" w:eastAsia="宋体" w:cs="宋体"/>
                <w:b w:val="0"/>
                <w:bCs/>
                <w:color w:val="auto"/>
                <w:sz w:val="24"/>
                <w:szCs w:val="24"/>
                <w:highlight w:val="none"/>
              </w:rPr>
            </w:pPr>
            <w:r>
              <w:rPr>
                <w:rFonts w:hint="eastAsia" w:ascii="宋体" w:hAnsi="宋体" w:eastAsia="宋体" w:cs="宋体"/>
                <w:b/>
                <w:color w:val="auto"/>
                <w:sz w:val="24"/>
                <w:szCs w:val="24"/>
                <w:highlight w:val="none"/>
                <w:lang w:val="en-US" w:eastAsia="zh-CN"/>
              </w:rPr>
              <w:t>9.</w:t>
            </w:r>
            <w:r>
              <w:rPr>
                <w:rFonts w:hint="eastAsia" w:ascii="宋体" w:hAnsi="宋体" w:eastAsia="宋体" w:cs="宋体"/>
                <w:b/>
                <w:color w:val="auto"/>
                <w:sz w:val="24"/>
                <w:szCs w:val="24"/>
                <w:highlight w:val="none"/>
              </w:rPr>
              <w:t>保费支付：</w:t>
            </w:r>
          </w:p>
        </w:tc>
        <w:tc>
          <w:tcPr>
            <w:tcW w:w="7545" w:type="dxa"/>
            <w:vAlign w:val="center"/>
          </w:tcPr>
          <w:p w14:paraId="278837EE">
            <w:pPr>
              <w:spacing w:line="400" w:lineRule="exact"/>
              <w:ind w:left="40" w:leftChars="20" w:right="138" w:rightChars="6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采购合同正式生效后，招标人在保险合同签订后</w:t>
            </w:r>
            <w:r>
              <w:rPr>
                <w:rFonts w:hint="eastAsia" w:ascii="宋体" w:hAnsi="宋体" w:eastAsia="宋体" w:cs="宋体"/>
                <w:b w:val="0"/>
                <w:bCs/>
                <w:color w:val="auto"/>
                <w:sz w:val="24"/>
                <w:szCs w:val="24"/>
                <w:highlight w:val="none"/>
                <w:lang w:val="en-US" w:eastAsia="zh-CN"/>
              </w:rPr>
              <w:t>45</w:t>
            </w:r>
            <w:r>
              <w:rPr>
                <w:rFonts w:hint="eastAsia" w:ascii="宋体" w:hAnsi="宋体" w:eastAsia="宋体" w:cs="宋体"/>
                <w:b w:val="0"/>
                <w:bCs/>
                <w:color w:val="auto"/>
                <w:sz w:val="24"/>
                <w:szCs w:val="24"/>
                <w:highlight w:val="none"/>
              </w:rPr>
              <w:t>个工作日内一次性支付保费。</w:t>
            </w:r>
          </w:p>
        </w:tc>
      </w:tr>
      <w:tr w14:paraId="31DB6B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19" w:hRule="exact"/>
          <w:jc w:val="center"/>
        </w:trPr>
        <w:tc>
          <w:tcPr>
            <w:tcW w:w="2169" w:type="dxa"/>
            <w:vMerge w:val="restart"/>
            <w:vAlign w:val="center"/>
          </w:tcPr>
          <w:p w14:paraId="3BF3FE63">
            <w:pPr>
              <w:spacing w:line="400" w:lineRule="exact"/>
              <w:ind w:left="40" w:leftChars="20" w:right="-72" w:rightChars="-36"/>
              <w:rPr>
                <w:rFonts w:hint="eastAsia" w:ascii="宋体" w:hAnsi="宋体" w:eastAsia="宋体" w:cs="宋体"/>
                <w:b/>
                <w:color w:val="auto"/>
                <w:sz w:val="24"/>
                <w:szCs w:val="24"/>
                <w:highlight w:val="none"/>
                <w:lang w:val="en-US" w:eastAsia="zh-CN"/>
              </w:rPr>
            </w:pPr>
            <w:r>
              <w:rPr>
                <w:rFonts w:hint="eastAsia" w:ascii="宋体" w:hAnsi="宋体" w:cs="宋体"/>
                <w:b/>
                <w:bCs/>
                <w:sz w:val="24"/>
                <w:szCs w:val="24"/>
                <w:lang w:val="en-US" w:eastAsia="zh-CN"/>
              </w:rPr>
              <w:t>10.</w:t>
            </w:r>
            <w:r>
              <w:rPr>
                <w:rFonts w:ascii="宋体" w:hAnsi="宋体" w:eastAsia="宋体" w:cs="宋体"/>
                <w:b/>
                <w:bCs/>
                <w:sz w:val="24"/>
                <w:szCs w:val="24"/>
              </w:rPr>
              <w:t>理赔服务要求：</w:t>
            </w:r>
          </w:p>
        </w:tc>
        <w:tc>
          <w:tcPr>
            <w:tcW w:w="7545" w:type="dxa"/>
            <w:vAlign w:val="center"/>
          </w:tcPr>
          <w:p w14:paraId="0418B690">
            <w:pPr>
              <w:spacing w:line="400" w:lineRule="exact"/>
              <w:ind w:right="138" w:rightChars="69"/>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bCs w:val="0"/>
                <w:color w:val="000000" w:themeColor="text1"/>
                <w:sz w:val="24"/>
                <w:szCs w:val="24"/>
                <w:highlight w:val="none"/>
                <w:lang w:eastAsia="zh-CN"/>
                <w14:textFill>
                  <w14:solidFill>
                    <w14:schemeClr w14:val="tx1"/>
                  </w14:solidFill>
                </w14:textFill>
              </w:rPr>
              <w:t>（1）</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 xml:space="preserve">须提供清晰的医疗责任险理赔处理流程。 </w:t>
            </w:r>
          </w:p>
          <w:p w14:paraId="020620EA">
            <w:pPr>
              <w:spacing w:line="400" w:lineRule="exact"/>
              <w:ind w:left="40" w:leftChars="20" w:right="138" w:rightChars="69"/>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bCs w:val="0"/>
                <w:color w:val="000000" w:themeColor="text1"/>
                <w:sz w:val="24"/>
                <w:szCs w:val="24"/>
                <w:highlight w:val="none"/>
                <w:lang w:eastAsia="zh-CN"/>
                <w14:textFill>
                  <w14:solidFill>
                    <w14:schemeClr w14:val="tx1"/>
                  </w14:solidFill>
                </w14:textFill>
              </w:rPr>
              <w:t>（2）</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 xml:space="preserve">中选人须成立本项目领导管理小组及专项工作负责小组，配备专业服务管理团队，保证服务质量及办公场地、专业从业人员的投入。 </w:t>
            </w:r>
          </w:p>
          <w:p w14:paraId="0A4F09C3">
            <w:pPr>
              <w:spacing w:line="400" w:lineRule="exact"/>
              <w:ind w:left="40" w:leftChars="20" w:right="138" w:rightChars="69"/>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bCs w:val="0"/>
                <w:color w:val="000000" w:themeColor="text1"/>
                <w:sz w:val="24"/>
                <w:szCs w:val="24"/>
                <w:highlight w:val="none"/>
                <w:lang w:eastAsia="zh-CN"/>
                <w14:textFill>
                  <w14:solidFill>
                    <w14:schemeClr w14:val="tx1"/>
                  </w14:solidFill>
                </w14:textFill>
              </w:rPr>
              <w:t>（3）</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 xml:space="preserve">中选人须指派至少两名服务人员配合医院成立服务小组，为医院提供包含且不限于以下的服务：协助医院处理突发性事件的调查、处理，医疗责任险理赔材料的收集、递交及理赔跟进等工作。专职人员应当提供优良服务，能够专业且全面地为采购人解决各类问题，同时向采购人汇报医疗责任险相关的最新情况。若采购人认为中选人所安排专职人员不能够满足上述业务能力要求的，采购人有权要求进行更换，直至满足要求为止。 </w:t>
            </w:r>
          </w:p>
          <w:p w14:paraId="04BC05B6">
            <w:pPr>
              <w:spacing w:line="400" w:lineRule="exact"/>
              <w:ind w:left="40" w:leftChars="20" w:right="138" w:rightChars="69"/>
              <w:rPr>
                <w:rFonts w:hint="eastAsia" w:ascii="宋体" w:hAnsi="宋体" w:eastAsia="宋体" w:cs="宋体"/>
                <w:b/>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bCs w:val="0"/>
                <w:color w:val="000000" w:themeColor="text1"/>
                <w:sz w:val="24"/>
                <w:szCs w:val="24"/>
                <w:highlight w:val="none"/>
                <w:lang w:eastAsia="zh-CN"/>
                <w14:textFill>
                  <w14:solidFill>
                    <w14:schemeClr w14:val="tx1"/>
                  </w14:solidFill>
                </w14:textFill>
              </w:rPr>
              <w:t>（4）培训制度：</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 xml:space="preserve">保险合同有效期内，承保人应协助保险经纪人为投保人/被保险人集中举办至少两次保险和风险防范培训，以提高投保人/被保险人相关人员的保险与风险管理知识。培训计划由保险经纪股份有限公司、承保保险公司共同协商确定。 </w:t>
            </w:r>
            <w:r>
              <w:rPr>
                <w:rFonts w:hint="eastAsia" w:ascii="宋体" w:hAnsi="宋体" w:eastAsia="宋体" w:cs="宋体"/>
                <w:b/>
                <w:bCs w:val="0"/>
                <w:color w:val="000000" w:themeColor="text1"/>
                <w:sz w:val="24"/>
                <w:szCs w:val="24"/>
                <w:highlight w:val="none"/>
                <w:lang w:eastAsia="zh-CN"/>
                <w14:textFill>
                  <w14:solidFill>
                    <w14:schemeClr w14:val="tx1"/>
                  </w14:solidFill>
                </w14:textFill>
              </w:rPr>
              <w:t>（5）理赔时效要求：</w:t>
            </w:r>
          </w:p>
          <w:p w14:paraId="3106E679">
            <w:pPr>
              <w:spacing w:line="400" w:lineRule="exact"/>
              <w:ind w:left="40" w:leftChars="20" w:right="138" w:rightChars="69"/>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1万元以下（含1万元）的赔案，3个工作日内作出赔付；</w:t>
            </w:r>
          </w:p>
          <w:p w14:paraId="4FD202EE">
            <w:pPr>
              <w:spacing w:line="400" w:lineRule="exact"/>
              <w:ind w:left="40" w:leftChars="20" w:right="138" w:rightChars="69"/>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1—5万元（不含1万元，含5万元）的赔案，5个工作日内作出赔付；</w:t>
            </w:r>
          </w:p>
          <w:p w14:paraId="08A65251">
            <w:pPr>
              <w:spacing w:line="400" w:lineRule="exact"/>
              <w:ind w:left="40" w:leftChars="20" w:right="138" w:rightChars="69"/>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5—20万元（不含5万元，含20万元）的赔案，7个工作日内作出赔付；</w:t>
            </w:r>
          </w:p>
          <w:p w14:paraId="4FBEEF5C">
            <w:pPr>
              <w:spacing w:line="400" w:lineRule="exact"/>
              <w:ind w:left="40" w:leftChars="20" w:right="138" w:rightChars="69"/>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20万元以上的赔案，10个工作日内作出赔付。</w:t>
            </w:r>
          </w:p>
        </w:tc>
      </w:tr>
      <w:tr w14:paraId="3E2FFB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7" w:hRule="exact"/>
          <w:jc w:val="center"/>
        </w:trPr>
        <w:tc>
          <w:tcPr>
            <w:tcW w:w="2169" w:type="dxa"/>
            <w:vMerge w:val="continue"/>
            <w:tcBorders/>
            <w:vAlign w:val="center"/>
          </w:tcPr>
          <w:p w14:paraId="2C702E1E">
            <w:pPr>
              <w:spacing w:line="400" w:lineRule="exact"/>
              <w:ind w:left="40" w:leftChars="20" w:right="-72" w:rightChars="-36"/>
              <w:rPr>
                <w:rFonts w:hint="eastAsia" w:ascii="宋体" w:hAnsi="宋体" w:cs="宋体"/>
                <w:b/>
                <w:bCs/>
                <w:sz w:val="24"/>
                <w:szCs w:val="24"/>
                <w:lang w:val="en-US" w:eastAsia="zh-CN"/>
              </w:rPr>
            </w:pPr>
          </w:p>
        </w:tc>
        <w:tc>
          <w:tcPr>
            <w:tcW w:w="7545" w:type="dxa"/>
            <w:shd w:val="clear"/>
            <w:vAlign w:val="center"/>
          </w:tcPr>
          <w:p w14:paraId="08F6B92A">
            <w:pPr>
              <w:spacing w:line="400" w:lineRule="exact"/>
              <w:ind w:right="138" w:rightChars="69"/>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（6）小额案件快速处理约定</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 xml:space="preserve">：对于赔偿金额在人民币1万元以下（含）的医疗纠纷，被保险人有权通过自行处理与患者达成和解，但亦不因此而排除被保险人通过其他合法途径处理此类医疗纠纷的权利，保险人有权了解医疗纠 </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纷的处理情况；被保险人通过自行和解方式与患者达成赔偿协议后，保险人应根据此赔偿协议进行保险赔付。</w:t>
            </w:r>
          </w:p>
          <w:p w14:paraId="64103CBB">
            <w:pPr>
              <w:spacing w:line="400" w:lineRule="exact"/>
              <w:ind w:left="40" w:leftChars="20" w:right="138" w:rightChars="69"/>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7</w:t>
            </w:r>
            <w:r>
              <w:rPr>
                <w:rFonts w:hint="eastAsia" w:ascii="宋体" w:hAnsi="宋体" w:eastAsia="宋体" w:cs="宋体"/>
                <w:b/>
                <w:bCs w:val="0"/>
                <w:color w:val="000000" w:themeColor="text1"/>
                <w:sz w:val="24"/>
                <w:szCs w:val="24"/>
                <w:highlight w:val="none"/>
                <w:lang w:eastAsia="zh-CN"/>
                <w14:textFill>
                  <w14:solidFill>
                    <w14:schemeClr w14:val="tx1"/>
                  </w14:solidFill>
                </w14:textFill>
              </w:rPr>
              <w:t>）核损核赔时效制：</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保险人在进行现场查勘后，就初步核损金额，在收到被保险人提交的完整索赔资料，经医调委听证或合议程序处理的，收到合议决定、调解协议书副本和相关材料后，在下述规定时间内作出理赔决定，以便快速理赔。</w:t>
            </w:r>
          </w:p>
          <w:p w14:paraId="42F9EF07">
            <w:pPr>
              <w:spacing w:line="400" w:lineRule="exact"/>
              <w:ind w:left="40" w:leftChars="20" w:right="138" w:rightChars="69"/>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①索赔金额在人民币5万元（或等值外币，含5万元）以下的，应在5个工作日内向被保险人提出异议，若在上述时间内未提出异议的，即视为双方就赔偿结果达成一致。</w:t>
            </w:r>
          </w:p>
          <w:p w14:paraId="3099BBC3">
            <w:pPr>
              <w:spacing w:line="400" w:lineRule="exact"/>
              <w:ind w:left="40" w:leftChars="20" w:right="138" w:rightChars="69"/>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②索赔金额在人民币5—30万元（或等值外币，不含5万元，含30万元）的，应在7工作日内向被保险人提出异议，若在上述时间内未提出异议的，即视为双方就赔偿结果达成一致。</w:t>
            </w:r>
          </w:p>
          <w:p w14:paraId="5811F531">
            <w:pPr>
              <w:spacing w:line="400" w:lineRule="exact"/>
              <w:ind w:left="40" w:leftChars="20" w:right="138" w:rightChars="69"/>
              <w:rPr>
                <w:rFonts w:hint="eastAsia" w:ascii="宋体" w:hAnsi="宋体" w:eastAsia="宋体" w:cs="宋体"/>
                <w:b w:val="0"/>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③30万元以上的赔案（或等值外币）以上的，应在10工作日内向被保险人提出异议，若在上述时间内未提出异议的，即视为双方就赔偿结果达成一致。</w:t>
            </w:r>
          </w:p>
        </w:tc>
      </w:tr>
    </w:tbl>
    <w:p w14:paraId="5EE9A127">
      <w:pPr>
        <w:pStyle w:val="2"/>
        <w:ind w:left="0" w:leftChars="0" w:firstLine="0" w:firstLineChars="0"/>
        <w:rPr>
          <w:rFonts w:hint="default"/>
          <w:lang w:val="en-US" w:eastAsia="zh-CN"/>
        </w:rPr>
      </w:pPr>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E42483"/>
    <w:rsid w:val="112B6BB8"/>
    <w:rsid w:val="16967BC3"/>
    <w:rsid w:val="40E42483"/>
    <w:rsid w:val="4F0156B5"/>
    <w:rsid w:val="592D0D21"/>
    <w:rsid w:val="5D1338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eastAsia="宋体" w:cs="Times New Roman"/>
      <w:kern w:val="0"/>
      <w:sz w:val="20"/>
      <w:szCs w:val="20"/>
      <w:lang w:val="en-US" w:eastAsia="zh-CN" w:bidi="ar-SA"/>
    </w:rPr>
  </w:style>
  <w:style w:type="paragraph" w:styleId="4">
    <w:name w:val="heading 2"/>
    <w:basedOn w:val="1"/>
    <w:next w:val="1"/>
    <w:unhideWhenUsed/>
    <w:qFormat/>
    <w:uiPriority w:val="0"/>
    <w:pPr>
      <w:keepNext/>
      <w:keepLines/>
      <w:spacing w:before="260" w:after="260" w:line="413" w:lineRule="auto"/>
      <w:jc w:val="left"/>
      <w:outlineLvl w:val="1"/>
    </w:pPr>
    <w:rPr>
      <w:rFonts w:ascii="Arial" w:hAnsi="Arial" w:eastAsia="宋体"/>
      <w:b/>
    </w:rPr>
  </w:style>
  <w:style w:type="paragraph" w:styleId="5">
    <w:name w:val="heading 3"/>
    <w:basedOn w:val="1"/>
    <w:next w:val="1"/>
    <w:unhideWhenUsed/>
    <w:qFormat/>
    <w:uiPriority w:val="0"/>
    <w:pPr>
      <w:spacing w:before="260" w:after="260" w:line="413" w:lineRule="auto"/>
      <w:jc w:val="center"/>
      <w:outlineLvl w:val="2"/>
    </w:pPr>
    <w:rPr>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3"/>
    <w:basedOn w:val="1"/>
    <w:next w:val="3"/>
    <w:qFormat/>
    <w:uiPriority w:val="0"/>
    <w:pPr>
      <w:autoSpaceDE w:val="0"/>
      <w:autoSpaceDN w:val="0"/>
      <w:adjustRightInd w:val="0"/>
      <w:spacing w:line="480" w:lineRule="exact"/>
      <w:ind w:firstLine="560"/>
      <w:jc w:val="left"/>
    </w:pPr>
    <w:rPr>
      <w:rFonts w:ascii="宋体" w:hAnsi="宋体"/>
      <w:color w:val="000000"/>
      <w:kern w:val="0"/>
      <w:sz w:val="28"/>
      <w:szCs w:val="20"/>
    </w:rPr>
  </w:style>
  <w:style w:type="paragraph" w:styleId="3">
    <w:name w:val="Body Text Indent 3"/>
    <w:basedOn w:val="1"/>
    <w:qFormat/>
    <w:uiPriority w:val="0"/>
    <w:pPr>
      <w:spacing w:after="120"/>
      <w:ind w:left="420" w:leftChars="200"/>
    </w:pPr>
    <w:rPr>
      <w:sz w:val="16"/>
      <w:szCs w:val="16"/>
    </w:rPr>
  </w:style>
  <w:style w:type="paragraph" w:styleId="6">
    <w:name w:val="Body Text"/>
    <w:basedOn w:val="1"/>
    <w:qFormat/>
    <w:uiPriority w:val="99"/>
    <w:pPr>
      <w:spacing w:line="360" w:lineRule="auto"/>
    </w:pPr>
    <w:rPr>
      <w:szCs w:val="20"/>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3171</Words>
  <Characters>3284</Characters>
  <Lines>0</Lines>
  <Paragraphs>0</Paragraphs>
  <TotalTime>4</TotalTime>
  <ScaleCrop>false</ScaleCrop>
  <LinksUpToDate>false</LinksUpToDate>
  <CharactersWithSpaces>3348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2024-02-04T09:41:00Z</dcterms:created>
  <dc:creator>LiuJ</dc:creator>
  <cp:lastModifiedBy>陈彩花</cp:lastModifiedBy>
  <dcterms:modified xsi:type="dcterms:W3CDTF">2024-12-30T06:48:28Z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A771B80CB61B43C0B7CF42E2FC819CD0</vt:lpwstr>
  </property>
  <property fmtid="{D5CDD505-2E9C-101B-9397-08002B2CF9AE}" pid="4" name="KSOTemplateDocerSaveRecord">
    <vt:lpwstr>eyJoZGlkIjoiNDcwYmJiODY2YTIwYmEyNGNkZTRlYzViOWRiOTY0YjQiLCJ1c2VySWQiOiIyMDg2NDc1NDgifQ==</vt:lpwstr>
  </property>
</Properties>
</file>